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2FBF" w:rsidRDefault="00D42FBF" w:rsidP="001761FF">
      <w:pPr>
        <w:jc w:val="both"/>
        <w:rPr>
          <w:rFonts w:ascii="Arial" w:hAnsi="Arial" w:cs="Arial"/>
          <w:b/>
          <w:smallCaps/>
        </w:rPr>
      </w:pPr>
    </w:p>
    <w:p w:rsidR="00D42FBF" w:rsidRDefault="00D42FBF">
      <w:pPr>
        <w:rPr>
          <w:rFonts w:ascii="Arial" w:hAnsi="Arial" w:cs="Arial"/>
          <w:b/>
          <w:smallCaps/>
        </w:rPr>
      </w:pPr>
      <w:r>
        <w:rPr>
          <w:rFonts w:ascii="Arial" w:hAnsi="Arial" w:cs="Arial"/>
          <w:b/>
          <w:smallCaps/>
        </w:rPr>
        <w:br w:type="page"/>
      </w:r>
    </w:p>
    <w:p w:rsidR="00D42FBF" w:rsidRDefault="00D42FBF" w:rsidP="001761FF">
      <w:pPr>
        <w:jc w:val="both"/>
        <w:rPr>
          <w:rFonts w:ascii="Arial" w:hAnsi="Arial" w:cs="Arial"/>
          <w:b/>
          <w:smallCaps/>
        </w:rPr>
      </w:pPr>
    </w:p>
    <w:p w:rsidR="00D42FBF" w:rsidRDefault="00D42FBF" w:rsidP="001761FF">
      <w:pPr>
        <w:rPr>
          <w:rFonts w:ascii="Arial" w:hAnsi="Arial" w:cs="Arial"/>
          <w:b/>
          <w:smallCaps/>
        </w:rPr>
      </w:pPr>
    </w:p>
    <w:p w:rsidR="00D42FBF" w:rsidRPr="00440B9F" w:rsidRDefault="00D42FBF" w:rsidP="001761FF">
      <w:pPr>
        <w:jc w:val="both"/>
        <w:rPr>
          <w:rFonts w:ascii="Arial" w:hAnsi="Arial" w:cs="Arial"/>
          <w:b/>
          <w:smallCaps/>
          <w:sz w:val="22"/>
          <w:szCs w:val="22"/>
        </w:rPr>
      </w:pPr>
    </w:p>
    <w:p w:rsidR="00D42FBF" w:rsidRPr="00440B9F" w:rsidRDefault="00D42FBF" w:rsidP="001761FF">
      <w:pPr>
        <w:jc w:val="both"/>
        <w:rPr>
          <w:rFonts w:ascii="Arial" w:hAnsi="Arial" w:cs="Arial"/>
          <w:b/>
          <w:smallCaps/>
          <w:sz w:val="22"/>
          <w:szCs w:val="22"/>
        </w:rPr>
      </w:pPr>
    </w:p>
    <w:p w:rsidR="00D42FBF" w:rsidRPr="00440B9F" w:rsidRDefault="00D42FBF" w:rsidP="001761FF">
      <w:pPr>
        <w:jc w:val="both"/>
        <w:rPr>
          <w:rFonts w:ascii="Arial" w:hAnsi="Arial" w:cs="Arial"/>
          <w:b/>
          <w:smallCaps/>
          <w:sz w:val="22"/>
          <w:szCs w:val="22"/>
        </w:rPr>
      </w:pPr>
    </w:p>
    <w:p w:rsidR="00D42FBF" w:rsidRPr="00440B9F" w:rsidRDefault="00D42FBF" w:rsidP="001761FF">
      <w:pPr>
        <w:jc w:val="center"/>
        <w:rPr>
          <w:rFonts w:ascii="Arial" w:hAnsi="Arial" w:cs="Arial"/>
          <w:b/>
          <w:smallCaps/>
          <w:sz w:val="22"/>
          <w:szCs w:val="22"/>
        </w:rPr>
      </w:pPr>
    </w:p>
    <w:p w:rsidR="00D42FBF" w:rsidRPr="00440B9F" w:rsidRDefault="00D42FBF" w:rsidP="001761FF">
      <w:pPr>
        <w:jc w:val="center"/>
        <w:rPr>
          <w:rFonts w:ascii="Arial" w:hAnsi="Arial" w:cs="Arial"/>
          <w:b/>
          <w:smallCaps/>
          <w:sz w:val="22"/>
          <w:szCs w:val="22"/>
        </w:rPr>
      </w:pPr>
      <w:r w:rsidRPr="00440B9F">
        <w:rPr>
          <w:rFonts w:ascii="Arial" w:hAnsi="Arial" w:cs="Arial"/>
          <w:b/>
          <w:smallCaps/>
          <w:sz w:val="22"/>
          <w:szCs w:val="22"/>
        </w:rPr>
        <w:t>Chapter Four:</w:t>
      </w:r>
    </w:p>
    <w:p w:rsidR="00D42FBF" w:rsidRPr="00440B9F" w:rsidRDefault="00D42FBF" w:rsidP="001761FF">
      <w:pPr>
        <w:jc w:val="center"/>
        <w:rPr>
          <w:rFonts w:ascii="Arial" w:hAnsi="Arial" w:cs="Arial"/>
          <w:b/>
          <w:smallCaps/>
          <w:sz w:val="22"/>
          <w:szCs w:val="22"/>
        </w:rPr>
      </w:pPr>
      <w:r w:rsidRPr="00440B9F">
        <w:rPr>
          <w:rFonts w:ascii="Arial" w:hAnsi="Arial" w:cs="Arial"/>
          <w:b/>
          <w:smallCaps/>
          <w:sz w:val="22"/>
          <w:szCs w:val="22"/>
        </w:rPr>
        <w:t>Protestant Womanhood</w:t>
      </w:r>
    </w:p>
    <w:p w:rsidR="00D42FBF" w:rsidRPr="00440B9F" w:rsidRDefault="00D42FBF" w:rsidP="001761FF">
      <w:pPr>
        <w:jc w:val="both"/>
        <w:rPr>
          <w:rFonts w:ascii="Arial" w:hAnsi="Arial" w:cs="Arial"/>
          <w:b/>
          <w:smallCaps/>
          <w:sz w:val="22"/>
          <w:szCs w:val="22"/>
        </w:rPr>
      </w:pPr>
    </w:p>
    <w:p w:rsidR="00D42FBF" w:rsidRPr="00440B9F" w:rsidRDefault="00D42FBF" w:rsidP="001761FF">
      <w:pPr>
        <w:jc w:val="both"/>
        <w:rPr>
          <w:rFonts w:ascii="Arial" w:hAnsi="Arial" w:cs="Arial"/>
          <w:b/>
          <w:smallCaps/>
          <w:sz w:val="22"/>
          <w:szCs w:val="22"/>
        </w:rPr>
      </w:pPr>
    </w:p>
    <w:p w:rsidR="00D42FBF" w:rsidRPr="00440B9F" w:rsidRDefault="00D42FBF" w:rsidP="001761FF">
      <w:pPr>
        <w:jc w:val="both"/>
        <w:rPr>
          <w:rFonts w:ascii="Arial" w:hAnsi="Arial" w:cs="Arial"/>
          <w:b/>
          <w:smallCaps/>
          <w:sz w:val="22"/>
          <w:szCs w:val="22"/>
        </w:rPr>
      </w:pPr>
    </w:p>
    <w:p w:rsidR="00D42FBF" w:rsidRPr="00440B9F" w:rsidRDefault="00D42FBF" w:rsidP="001761FF">
      <w:pPr>
        <w:jc w:val="both"/>
        <w:rPr>
          <w:rFonts w:ascii="Arial" w:hAnsi="Arial" w:cs="Arial"/>
          <w:b/>
          <w:smallCaps/>
          <w:sz w:val="22"/>
          <w:szCs w:val="22"/>
        </w:rPr>
      </w:pPr>
    </w:p>
    <w:p w:rsidR="00D42FBF" w:rsidRPr="00440B9F" w:rsidRDefault="00D42FBF" w:rsidP="001761FF">
      <w:pPr>
        <w:jc w:val="both"/>
        <w:rPr>
          <w:rFonts w:ascii="Arial" w:hAnsi="Arial" w:cs="Arial"/>
          <w:b/>
          <w:smallCaps/>
          <w:sz w:val="22"/>
          <w:szCs w:val="22"/>
        </w:rPr>
      </w:pPr>
    </w:p>
    <w:p w:rsidR="00D42FBF" w:rsidRPr="00440B9F" w:rsidRDefault="00D42FBF" w:rsidP="001761FF">
      <w:pPr>
        <w:jc w:val="both"/>
        <w:rPr>
          <w:rFonts w:ascii="Arial" w:hAnsi="Arial" w:cs="Arial"/>
          <w:b/>
          <w:smallCaps/>
          <w:sz w:val="22"/>
          <w:szCs w:val="22"/>
        </w:rPr>
      </w:pPr>
    </w:p>
    <w:p w:rsidR="00D42FBF" w:rsidRPr="00440B9F" w:rsidRDefault="00D42FBF" w:rsidP="001761FF">
      <w:pPr>
        <w:jc w:val="both"/>
        <w:rPr>
          <w:rFonts w:ascii="Arial" w:hAnsi="Arial" w:cs="Arial"/>
          <w:b/>
          <w:smallCaps/>
          <w:sz w:val="22"/>
          <w:szCs w:val="22"/>
        </w:rPr>
      </w:pPr>
    </w:p>
    <w:p w:rsidR="00D42FBF" w:rsidRPr="00440B9F" w:rsidRDefault="00D42FBF" w:rsidP="001761FF">
      <w:pPr>
        <w:jc w:val="both"/>
        <w:rPr>
          <w:rFonts w:ascii="Arial" w:hAnsi="Arial" w:cs="Arial"/>
          <w:b/>
          <w:smallCaps/>
          <w:sz w:val="22"/>
          <w:szCs w:val="22"/>
        </w:rPr>
      </w:pPr>
    </w:p>
    <w:p w:rsidR="00D42FBF" w:rsidRPr="00440B9F" w:rsidRDefault="00D42FBF" w:rsidP="001761FF">
      <w:pPr>
        <w:jc w:val="both"/>
        <w:rPr>
          <w:rFonts w:ascii="Arial" w:hAnsi="Arial" w:cs="Arial"/>
          <w:b/>
          <w:smallCaps/>
          <w:sz w:val="22"/>
          <w:szCs w:val="22"/>
        </w:rPr>
      </w:pP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sz w:val="22"/>
          <w:szCs w:val="22"/>
        </w:rPr>
        <w:t xml:space="preserve">The Protestant Circle was a distinct space, where individuals from different backgrounds shared the hybrid culture and faith that defined this community. Although united in a Protestant identity, divisions and differences amongst members affected the way that the Circle functioned. Individuals varied in the reasons for joining the Circle, maintaining their Protestant commitment and the ways in which they embodied Protestant faith and culture. The previous chapter outlined the structural distribution of these differences and argued that a person’s acquisition of education, expression of religion and social networks were affected by his/her race. The gender of a person also influenced his/her experience and expression of Protestantism. Analysing how gender was defined and negotiated within the Protestant Circle demonstrates that the inequalities of both race and gender shaped the ways that Protestantism was personally articulated and performed, through uncovering other important details of this community and the relationships that it encompassed. </w:t>
      </w: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sz w:val="22"/>
          <w:szCs w:val="22"/>
        </w:rPr>
        <w:tab/>
        <w:t>Gender is defined as the attributes designated to differently sexed bodies within a specific society. Although gender is often identifiable, as male or female, it is nevertheless unstable, multifarious and ever-changing.</w:t>
      </w:r>
      <w:r w:rsidRPr="00440B9F">
        <w:rPr>
          <w:rStyle w:val="FootnoteReference"/>
          <w:rFonts w:ascii="Palatino Linotype" w:hAnsi="Palatino Linotype" w:cs="Arial"/>
          <w:sz w:val="22"/>
          <w:szCs w:val="22"/>
        </w:rPr>
        <w:footnoteReference w:id="2"/>
      </w:r>
      <w:r w:rsidRPr="00440B9F">
        <w:rPr>
          <w:rFonts w:ascii="Palatino Linotype" w:hAnsi="Palatino Linotype" w:cs="Arial"/>
          <w:sz w:val="22"/>
          <w:szCs w:val="22"/>
        </w:rPr>
        <w:t xml:space="preserve"> Gender also acts like a form of capital, for the characteristics and roles that defined womanhood and manhood reflect the ideals of the elite within a society, which are then articulated and negotiated by all within the group.</w:t>
      </w:r>
      <w:r w:rsidRPr="00440B9F">
        <w:rPr>
          <w:rFonts w:ascii="Palatino Linotype" w:hAnsi="Palatino Linotype" w:cs="Arial"/>
          <w:sz w:val="22"/>
          <w:szCs w:val="22"/>
          <w:vertAlign w:val="superscript"/>
        </w:rPr>
        <w:footnoteReference w:id="3"/>
      </w:r>
      <w:r w:rsidRPr="00440B9F">
        <w:rPr>
          <w:rFonts w:ascii="Palatino Linotype" w:hAnsi="Palatino Linotype" w:cs="Arial"/>
          <w:sz w:val="22"/>
          <w:szCs w:val="22"/>
        </w:rPr>
        <w:t xml:space="preserve"> While individuals are attributed a gendered identity, personal embodiment of these gender norms differs, so that subversions and alternative performances of womanhood and manhood can also be found. This results in a gendered hierarchy where those who ‘properly’ perform their gender are contrasted to those who ‘improperly’ represent their associated gender.</w:t>
      </w:r>
      <w:r w:rsidRPr="00440B9F">
        <w:rPr>
          <w:rStyle w:val="FootnoteReference"/>
          <w:rFonts w:ascii="Palatino Linotype" w:hAnsi="Palatino Linotype" w:cs="Arial"/>
          <w:sz w:val="22"/>
          <w:szCs w:val="22"/>
        </w:rPr>
        <w:footnoteReference w:id="4"/>
      </w: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sz w:val="22"/>
          <w:szCs w:val="22"/>
        </w:rPr>
        <w:tab/>
        <w:t>This chapter investigates the definition of Protestant womanhood that emerged during the early to mid-nineteenth century. The choice to examine Protestant womanhood reflects my desire to explore women’s relationship with Protestantism, as a religious and social identity, and the activities performed by women to demonstrate their Protestant commitment. Historical analyses of missionary and colonial encounters often concentrate upon the activities of men.</w:t>
      </w:r>
      <w:r w:rsidRPr="00440B9F">
        <w:rPr>
          <w:rFonts w:ascii="Palatino Linotype" w:hAnsi="Palatino Linotype" w:cs="Arial"/>
          <w:sz w:val="22"/>
          <w:szCs w:val="22"/>
          <w:vertAlign w:val="superscript"/>
        </w:rPr>
        <w:footnoteReference w:id="5"/>
      </w:r>
      <w:r w:rsidRPr="00440B9F">
        <w:rPr>
          <w:rFonts w:ascii="Palatino Linotype" w:hAnsi="Palatino Linotype" w:cs="Arial"/>
          <w:sz w:val="22"/>
          <w:szCs w:val="22"/>
        </w:rPr>
        <w:t xml:space="preserve"> Although some noticeable exceptions exist,</w:t>
      </w:r>
      <w:r w:rsidRPr="00440B9F">
        <w:rPr>
          <w:rFonts w:ascii="Palatino Linotype" w:hAnsi="Palatino Linotype" w:cs="Arial"/>
          <w:sz w:val="22"/>
          <w:szCs w:val="22"/>
          <w:vertAlign w:val="superscript"/>
        </w:rPr>
        <w:footnoteReference w:id="6"/>
      </w:r>
      <w:r w:rsidRPr="00440B9F">
        <w:rPr>
          <w:rFonts w:ascii="Palatino Linotype" w:hAnsi="Palatino Linotype" w:cs="Arial"/>
          <w:sz w:val="22"/>
          <w:szCs w:val="22"/>
        </w:rPr>
        <w:t xml:space="preserve"> women’s voices within such histories, including that of the ABCFM’s work in Syria, tend to be silenced or relegated to marginal roles, often with the details of women’s lives referenced to only in footnotes.</w:t>
      </w:r>
      <w:r w:rsidRPr="00440B9F">
        <w:rPr>
          <w:rFonts w:ascii="Palatino Linotype" w:hAnsi="Palatino Linotype" w:cs="Arial"/>
          <w:sz w:val="22"/>
          <w:szCs w:val="22"/>
          <w:vertAlign w:val="superscript"/>
        </w:rPr>
        <w:footnoteReference w:id="7"/>
      </w:r>
      <w:r w:rsidRPr="00440B9F">
        <w:rPr>
          <w:rFonts w:ascii="Palatino Linotype" w:hAnsi="Palatino Linotype" w:cs="Arial"/>
          <w:sz w:val="22"/>
          <w:szCs w:val="22"/>
        </w:rPr>
        <w:t xml:space="preserve"> In addition, much of this work overlooks the influence of gender on the missionary encounter even when focusing solely upon the activities of men. For example, the different definitions of masculinity that were performed by the missionaries and Syrian Protestant men are not thoroughly investigated and explained, nor are they compared/contrasted to the gendered identities of their female colleagues and the normative terms of masculinity operating in both Syria and the United States. I have chosen to concentrate upon womanhood in order to reposition women as central figures within this community, while leaving the analysis of Protestant masculinity for a future study. I also believe that employing a gendered lens to analyse the Protestant Circle is essential to uncover the activities of these women and identify the definitions of Protestantism that they embodied and subverted. This will emphasise the true complexities and dialectic nature of the Protestant community, and reveal new details of how the Protestants lived and performed their identity.</w:t>
      </w: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sz w:val="22"/>
          <w:szCs w:val="22"/>
        </w:rPr>
        <w:tab/>
        <w:t>The first section of this chapter outlines the idealised roles for women within the Protestant Circle. These roles were based upon the normative definitions of Protestantism that were articulated by the ABCFM missionaries, which relegated women to positions outside of the Circle’s central elite. The roles for women were also determined by the (perceived) differences amongst women, the most important being race, but also included marriage status and the age at which the woman joined the Circle. The second section investigates women’s social networks as the sites where women learned and negotiated their associated role and judged others’ gendered performances. The third section examines the activities performed by Protestant women to fulfil their gender roles. These included housekeeping and the acquisition of a Protestant education.</w:t>
      </w:r>
    </w:p>
    <w:p w:rsidR="00D42FBF" w:rsidRDefault="00D42FBF" w:rsidP="001761FF">
      <w:pPr>
        <w:spacing w:line="360" w:lineRule="auto"/>
        <w:jc w:val="both"/>
        <w:rPr>
          <w:rFonts w:ascii="Palatino Linotype" w:hAnsi="Palatino Linotype" w:cs="Arial"/>
        </w:rPr>
      </w:pPr>
      <w:r w:rsidRPr="00440B9F">
        <w:rPr>
          <w:rFonts w:ascii="Palatino Linotype" w:hAnsi="Palatino Linotype" w:cs="Arial"/>
          <w:sz w:val="22"/>
          <w:szCs w:val="22"/>
        </w:rPr>
        <w:tab/>
        <w:t>The Protestants’ definitions of womanhood were affected by the changes unfolding in both the United States and Ottoman Syria, for which the mid-1840s served as an important turning point. During the 1840s, Syrian society was transformed by the expulsion of Muhammed Ali’s government, the return of Ottoman authority, the emergence of a middle class and the modifications of religious identities. This prompted a rise in the number of Syrians within the Protestant Circle.</w:t>
      </w:r>
      <w:r w:rsidRPr="00440B9F">
        <w:rPr>
          <w:rStyle w:val="FootnoteReference"/>
          <w:rFonts w:ascii="Palatino Linotype" w:hAnsi="Palatino Linotype" w:cs="Arial"/>
          <w:sz w:val="22"/>
          <w:szCs w:val="22"/>
        </w:rPr>
        <w:footnoteReference w:id="8"/>
      </w:r>
      <w:r w:rsidRPr="00440B9F">
        <w:rPr>
          <w:rFonts w:ascii="Palatino Linotype" w:hAnsi="Palatino Linotype" w:cs="Arial"/>
          <w:sz w:val="22"/>
          <w:szCs w:val="22"/>
        </w:rPr>
        <w:t xml:space="preserve"> Historians have also argued that the 1840s witnessed a rise in the suburban middle class, wide-spread use of mass-production and the loosening of Calvinism, all of which changed the gendering of American society.</w:t>
      </w:r>
      <w:r w:rsidRPr="00440B9F">
        <w:rPr>
          <w:rStyle w:val="FootnoteReference"/>
          <w:rFonts w:ascii="Palatino Linotype" w:hAnsi="Palatino Linotype" w:cs="Arial"/>
          <w:sz w:val="22"/>
          <w:szCs w:val="22"/>
        </w:rPr>
        <w:footnoteReference w:id="9"/>
      </w:r>
      <w:r w:rsidRPr="00440B9F">
        <w:rPr>
          <w:rFonts w:ascii="Palatino Linotype" w:hAnsi="Palatino Linotype" w:cs="Arial"/>
          <w:sz w:val="22"/>
          <w:szCs w:val="22"/>
        </w:rPr>
        <w:t xml:space="preserve"> These new views were brought to the Syrian Station by the new missionaries who arrived after the mid-1840s, but particularly those who joined during the 1850s. In order to emphasise the effects of these changes on the definition of Protestant womanhood, the phrase ‘early years’ is used to describe the period from 1823 to the mid-1840s, while the ‘later years’ describes the period from the mid-1840s to 1860.</w:t>
      </w:r>
    </w:p>
    <w:p w:rsidR="00D42FBF" w:rsidRDefault="00D42FBF" w:rsidP="001761FF">
      <w:pPr>
        <w:spacing w:line="360" w:lineRule="auto"/>
        <w:jc w:val="both"/>
        <w:rPr>
          <w:rFonts w:ascii="Palatino Linotype" w:hAnsi="Palatino Linotype" w:cs="Arial"/>
        </w:rPr>
      </w:pPr>
    </w:p>
    <w:p w:rsidR="00D42FBF" w:rsidRPr="00440B9F" w:rsidRDefault="00D42FBF" w:rsidP="001761FF">
      <w:pPr>
        <w:spacing w:line="360" w:lineRule="auto"/>
        <w:jc w:val="both"/>
        <w:rPr>
          <w:rFonts w:ascii="Palatino Linotype" w:hAnsi="Palatino Linotype" w:cs="Arial"/>
          <w:sz w:val="22"/>
          <w:szCs w:val="22"/>
        </w:rPr>
      </w:pPr>
    </w:p>
    <w:p w:rsidR="00D42FBF" w:rsidRPr="001761FF" w:rsidRDefault="00D42FBF" w:rsidP="001761FF">
      <w:pPr>
        <w:tabs>
          <w:tab w:val="left" w:pos="0"/>
        </w:tabs>
        <w:spacing w:line="360" w:lineRule="auto"/>
        <w:jc w:val="center"/>
        <w:rPr>
          <w:rFonts w:ascii="Palatino Linotype" w:hAnsi="Palatino Linotype" w:cs="Arial"/>
          <w:sz w:val="22"/>
          <w:szCs w:val="22"/>
        </w:rPr>
      </w:pPr>
      <w:r w:rsidRPr="00440B9F">
        <w:rPr>
          <w:rFonts w:ascii="Arial" w:hAnsi="Arial" w:cs="Arial"/>
          <w:smallCaps/>
          <w:sz w:val="22"/>
          <w:szCs w:val="22"/>
        </w:rPr>
        <w:t>The Roles for Protestant Women in Ottoman Syria</w:t>
      </w:r>
    </w:p>
    <w:p w:rsidR="00D42FBF" w:rsidRPr="00440B9F" w:rsidRDefault="00D42FBF" w:rsidP="001761FF">
      <w:pPr>
        <w:spacing w:line="360" w:lineRule="auto"/>
        <w:jc w:val="both"/>
        <w:rPr>
          <w:rFonts w:ascii="Palatino Linotype" w:hAnsi="Palatino Linotype" w:cs="Arial"/>
          <w:smallCaps/>
          <w:sz w:val="22"/>
          <w:szCs w:val="22"/>
        </w:rPr>
      </w:pP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sz w:val="22"/>
          <w:szCs w:val="22"/>
        </w:rPr>
        <w:t xml:space="preserve">Evangelical work during the nineteenth century was a gendered activity, just as Protestantism was a gendered faith. Men and women were designated to certain roles, which were deemed necessary for the successful functioning of the evangelical endeavour. The primary role for all Protestant women in Syria was to strengthen the Protestant Circle. Despite this shared objective, divisions amongst women affected how this role was individually defined and pursued. </w:t>
      </w:r>
      <w:r w:rsidRPr="00440B9F">
        <w:rPr>
          <w:rFonts w:ascii="Palatino Linotype" w:hAnsi="Palatino Linotype" w:cs="Arial"/>
          <w:vanish/>
          <w:sz w:val="22"/>
          <w:szCs w:val="22"/>
        </w:rPr>
        <w:t>HoHHHOHHHHhhhhbhhhhhhhhhhhhhhhhhh    hh</w:t>
      </w:r>
      <w:r w:rsidRPr="00440B9F">
        <w:rPr>
          <w:rFonts w:ascii="Palatino Linotype" w:hAnsi="Palatino Linotype" w:cs="Arial"/>
          <w:sz w:val="22"/>
          <w:szCs w:val="22"/>
        </w:rPr>
        <w:t>The primary division amongst women was by race, with the roles for ‘missionary women’ differing from those for ‘Syrian’ women. Other distinctions were based upon marriage status and the age at which a woman joined the Protestant Circle. This section outlines the different roles for women and argues that these roles functioned as the normative standards for women’s identities and activities, so that the women who properly fulfilled their associated role functioned as role models for others to emulate.</w:t>
      </w:r>
      <w:r w:rsidRPr="00440B9F">
        <w:rPr>
          <w:rStyle w:val="FootnoteReference"/>
          <w:rFonts w:ascii="Palatino Linotype" w:hAnsi="Palatino Linotype" w:cs="Arial"/>
          <w:sz w:val="22"/>
          <w:szCs w:val="22"/>
        </w:rPr>
        <w:footnoteReference w:id="10"/>
      </w:r>
    </w:p>
    <w:p w:rsidR="00D42FBF" w:rsidRPr="00440B9F" w:rsidRDefault="00D42FBF" w:rsidP="001761FF">
      <w:pPr>
        <w:spacing w:line="360" w:lineRule="auto"/>
        <w:jc w:val="both"/>
        <w:rPr>
          <w:rFonts w:ascii="Palatino Linotype" w:hAnsi="Palatino Linotype" w:cs="Arial"/>
          <w:sz w:val="22"/>
          <w:szCs w:val="22"/>
        </w:rPr>
      </w:pPr>
    </w:p>
    <w:p w:rsidR="00D42FBF" w:rsidRPr="00440B9F" w:rsidRDefault="00D42FBF" w:rsidP="001761FF">
      <w:pPr>
        <w:spacing w:line="360" w:lineRule="auto"/>
        <w:jc w:val="center"/>
        <w:rPr>
          <w:rFonts w:ascii="Arial" w:hAnsi="Arial" w:cs="Arial"/>
          <w:i/>
          <w:smallCaps/>
          <w:sz w:val="22"/>
          <w:szCs w:val="22"/>
        </w:rPr>
      </w:pPr>
      <w:r w:rsidRPr="00440B9F">
        <w:rPr>
          <w:rFonts w:ascii="Arial" w:hAnsi="Arial" w:cs="Arial"/>
          <w:i/>
          <w:smallCaps/>
          <w:sz w:val="22"/>
          <w:szCs w:val="22"/>
        </w:rPr>
        <w:t>The Roles for Missionary Women</w:t>
      </w:r>
    </w:p>
    <w:p w:rsidR="00D42FBF" w:rsidRPr="00440B9F" w:rsidRDefault="00D42FBF" w:rsidP="001761FF">
      <w:pPr>
        <w:spacing w:line="360" w:lineRule="auto"/>
        <w:jc w:val="both"/>
        <w:rPr>
          <w:rFonts w:ascii="Palatino Linotype" w:hAnsi="Palatino Linotype" w:cs="Arial"/>
          <w:smallCaps/>
          <w:sz w:val="22"/>
          <w:szCs w:val="22"/>
        </w:rPr>
      </w:pP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sz w:val="22"/>
          <w:szCs w:val="22"/>
        </w:rPr>
        <w:t>The roles for women in missionary encounters were not clearly articulated during the early years of the ABCFM’s work in the Ottoman Empire. The initial sending of missionaries by the ABCFM to the ‘Near East’ predated the establishment of the Syrian Station by four years. The unmarried Levi Parsons and Pliny Fisk were sent in 1819 to investigate the region and were joined in 1822 by the then single Jonas King.</w:t>
      </w:r>
      <w:r w:rsidRPr="00440B9F">
        <w:rPr>
          <w:rStyle w:val="FootnoteReference"/>
          <w:rFonts w:ascii="Palatino Linotype" w:hAnsi="Palatino Linotype" w:cs="Arial"/>
          <w:sz w:val="22"/>
          <w:szCs w:val="22"/>
        </w:rPr>
        <w:footnoteReference w:id="11"/>
      </w:r>
      <w:r w:rsidRPr="00440B9F">
        <w:rPr>
          <w:rFonts w:ascii="Palatino Linotype" w:hAnsi="Palatino Linotype" w:cs="Arial"/>
          <w:sz w:val="22"/>
          <w:szCs w:val="22"/>
        </w:rPr>
        <w:t xml:space="preserve"> The founding of the Syrian Station at Beirut occurred in 1823, when the two missionaries, William Goodell and Isaac Bird settled in this city with their wives, Abigail and Ann. A letter written by Goodell and Bird in 1829 illuminates that, although the ABCFM preferred to send married missionary couples to establish permanent stations, this stance was flexible, for their letter explains that William was originally scheduled to serve as a single missionary. Shortly before William’s departed however, he married Abigail. The unexpected change in Goodell’s marriage status (and the new cost of sending another person to Syria) ‘called forth an expression of surprise from some of the members [of the ABCFM’s Prudential Committee]’.</w:t>
      </w:r>
      <w:r w:rsidRPr="00440B9F">
        <w:rPr>
          <w:rStyle w:val="FootnoteReference"/>
          <w:rFonts w:ascii="Palatino Linotype" w:hAnsi="Palatino Linotype" w:cs="Arial"/>
          <w:sz w:val="22"/>
          <w:szCs w:val="22"/>
        </w:rPr>
        <w:footnoteReference w:id="12"/>
      </w:r>
      <w:r w:rsidRPr="00440B9F">
        <w:rPr>
          <w:rFonts w:ascii="Palatino Linotype" w:hAnsi="Palatino Linotype" w:cs="Arial"/>
          <w:sz w:val="22"/>
          <w:szCs w:val="22"/>
        </w:rPr>
        <w:t xml:space="preserve"> This suggests that the station in Syria was to be founded regardless of the number of women sent with the (male) missionaries.</w:t>
      </w: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sz w:val="22"/>
          <w:szCs w:val="22"/>
        </w:rPr>
        <w:tab/>
        <w:t>During subsequent years, the commissioning of missionaries, gendered as male, was not affected by the men’s marriage status. From 1830 to 1840, three of the eight new missionaries were unmarried when they arrived at the station. Although two returned to the United States to find a wife, two of the originally married missionaries became widowers at the station. The acceptance of missionary men’s single status during these early years suggests that the ABCFM perceived missionary women to be unnecessary for the early development of the Syrian Station.</w:t>
      </w:r>
      <w:r w:rsidRPr="00440B9F">
        <w:rPr>
          <w:rFonts w:ascii="Palatino Linotype" w:hAnsi="Palatino Linotype" w:cs="Arial"/>
          <w:sz w:val="22"/>
          <w:szCs w:val="22"/>
          <w:vertAlign w:val="superscript"/>
        </w:rPr>
        <w:footnoteReference w:id="13"/>
      </w:r>
      <w:r w:rsidRPr="00440B9F">
        <w:rPr>
          <w:rFonts w:ascii="Palatino Linotype" w:hAnsi="Palatino Linotype" w:cs="Arial"/>
          <w:sz w:val="22"/>
          <w:szCs w:val="22"/>
        </w:rPr>
        <w:t xml:space="preserve"> In contrast to the ‘problems’ of interracial sexuality at other colonial encounters, Syrian women were not regarded as sexual threats or distractions to the ABCFM missionaries during the early period.</w:t>
      </w:r>
      <w:r w:rsidRPr="00440B9F">
        <w:rPr>
          <w:rStyle w:val="FootnoteReference"/>
          <w:rFonts w:ascii="Palatino Linotype" w:hAnsi="Palatino Linotype" w:cs="Arial"/>
          <w:sz w:val="22"/>
          <w:szCs w:val="22"/>
        </w:rPr>
        <w:footnoteReference w:id="14"/>
      </w:r>
      <w:r w:rsidRPr="00440B9F">
        <w:rPr>
          <w:rFonts w:ascii="Palatino Linotype" w:hAnsi="Palatino Linotype" w:cs="Arial"/>
          <w:sz w:val="22"/>
          <w:szCs w:val="22"/>
        </w:rPr>
        <w:t xml:space="preserve"> No reports of ABCFM missionary men engaging in sexual relations with Syrian women before 1860 were found in the material researched for this thesis, although a German missionary, Henry Reichardt married the Syrian Protestant, Hannie Wortabet, in the early 1850s. If Syrian women had been perceived as sexual threats it is likely that there would have been a call for each male missionary to be accompanied by an American woman to serve as a wife and properly satisfy the missionaries’ needs.</w:t>
      </w:r>
      <w:r w:rsidRPr="00440B9F">
        <w:rPr>
          <w:rFonts w:ascii="Palatino Linotype" w:hAnsi="Palatino Linotype" w:cs="Arial"/>
          <w:sz w:val="22"/>
          <w:szCs w:val="22"/>
          <w:vertAlign w:val="superscript"/>
        </w:rPr>
        <w:footnoteReference w:id="15"/>
      </w:r>
      <w:r w:rsidRPr="00440B9F">
        <w:rPr>
          <w:rFonts w:ascii="Palatino Linotype" w:hAnsi="Palatino Linotype" w:cs="Arial"/>
          <w:sz w:val="22"/>
          <w:szCs w:val="22"/>
        </w:rPr>
        <w:t xml:space="preserve"> It is also important to note that the sexual vulnerability of missionary women, either single or married, was not an overt concern for the Syrian Station until the late 1850s. Nancy Stockdale argues that it was only after the Sepoy Rebellion of 1857 in India and the attack on Matilda Creasy outside Jerusalem in 1858, that the vulnerability of white women living the ‘East’ was exposed, or as Stockdale posits, created.</w:t>
      </w:r>
      <w:r w:rsidRPr="00440B9F">
        <w:rPr>
          <w:rStyle w:val="FootnoteReference"/>
          <w:rFonts w:ascii="Palatino Linotype" w:hAnsi="Palatino Linotype" w:cs="Arial"/>
          <w:sz w:val="22"/>
          <w:szCs w:val="22"/>
        </w:rPr>
        <w:footnoteReference w:id="16"/>
      </w:r>
      <w:r w:rsidRPr="00440B9F">
        <w:rPr>
          <w:rFonts w:ascii="Palatino Linotype" w:hAnsi="Palatino Linotype" w:cs="Arial"/>
          <w:sz w:val="22"/>
          <w:szCs w:val="22"/>
        </w:rPr>
        <w:t xml:space="preserve"> The publicity of these events and ‘risks’ of white women in foreign lands reflected a new phase in gender construction that included the exoticisation of Syrian women, which increased after 1860.</w:t>
      </w:r>
      <w:r w:rsidRPr="00440B9F">
        <w:rPr>
          <w:rStyle w:val="FootnoteReference"/>
          <w:rFonts w:ascii="Palatino Linotype" w:hAnsi="Palatino Linotype" w:cs="Arial"/>
          <w:sz w:val="22"/>
          <w:szCs w:val="22"/>
        </w:rPr>
        <w:footnoteReference w:id="17"/>
      </w:r>
      <w:r w:rsidRPr="00440B9F">
        <w:rPr>
          <w:rFonts w:ascii="Palatino Linotype" w:hAnsi="Palatino Linotype" w:cs="Arial"/>
          <w:sz w:val="22"/>
          <w:szCs w:val="22"/>
        </w:rPr>
        <w:t xml:space="preserve"> </w:t>
      </w: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sz w:val="22"/>
          <w:szCs w:val="22"/>
        </w:rPr>
        <w:tab/>
        <w:t>Nonetheless and despite this lack of perceived necessity, many missionary men married American women. Most marriages took place shortly before embarking to the station and brought together like-minded Christians. Similar to their husbands, many of the future missionary women were active in the religious and social reform organisations that emerged in the United States during the early nineteenth century.</w:t>
      </w:r>
      <w:r w:rsidRPr="00440B9F">
        <w:rPr>
          <w:rStyle w:val="FootnoteReference"/>
          <w:rFonts w:ascii="Palatino Linotype" w:hAnsi="Palatino Linotype" w:cs="Arial"/>
          <w:sz w:val="22"/>
          <w:szCs w:val="22"/>
        </w:rPr>
        <w:footnoteReference w:id="18"/>
      </w:r>
      <w:r w:rsidRPr="00440B9F">
        <w:rPr>
          <w:rFonts w:ascii="Palatino Linotype" w:hAnsi="Palatino Linotype" w:cs="Arial"/>
          <w:sz w:val="22"/>
          <w:szCs w:val="22"/>
        </w:rPr>
        <w:t xml:space="preserve"> Before her marriage to Eli Smith, for example, Sarah Huntington engaged in a variety of religious activities, which included service as an independent missionary to Amerindians in New York.</w:t>
      </w:r>
      <w:r w:rsidRPr="00440B9F">
        <w:rPr>
          <w:rStyle w:val="FootnoteReference"/>
          <w:rFonts w:ascii="Palatino Linotype" w:hAnsi="Palatino Linotype" w:cs="Arial"/>
          <w:sz w:val="22"/>
          <w:szCs w:val="22"/>
        </w:rPr>
        <w:footnoteReference w:id="19"/>
      </w:r>
      <w:r w:rsidRPr="00440B9F">
        <w:rPr>
          <w:rFonts w:ascii="Palatino Linotype" w:hAnsi="Palatino Linotype" w:cs="Arial"/>
          <w:sz w:val="22"/>
          <w:szCs w:val="22"/>
        </w:rPr>
        <w:t xml:space="preserve"> During her pre-ABCFM years, Sarah wrote: </w:t>
      </w:r>
    </w:p>
    <w:p w:rsidR="00D42FBF" w:rsidRDefault="00D42FBF" w:rsidP="001761FF">
      <w:pPr>
        <w:ind w:left="720" w:right="720"/>
        <w:jc w:val="both"/>
        <w:rPr>
          <w:rFonts w:ascii="Palatino Linotype" w:hAnsi="Palatino Linotype" w:cs="Arial"/>
        </w:rPr>
      </w:pPr>
      <w:r w:rsidRPr="00440B9F">
        <w:rPr>
          <w:rFonts w:ascii="Palatino Linotype" w:hAnsi="Palatino Linotype" w:cs="Arial"/>
          <w:sz w:val="22"/>
          <w:szCs w:val="22"/>
        </w:rPr>
        <w:t>I have more than once, of late, wished myself a young minister. The triumphs of Divine grace, and the presages of millennial glory, sometimes induce such overpowering impulses in my soul, that I want to burst the confines of my sex, and go forth a public ambassador for Christ.</w:t>
      </w:r>
      <w:r w:rsidRPr="00440B9F">
        <w:rPr>
          <w:rStyle w:val="FootnoteReference"/>
          <w:rFonts w:ascii="Palatino Linotype" w:hAnsi="Palatino Linotype" w:cs="Arial"/>
          <w:sz w:val="22"/>
          <w:szCs w:val="22"/>
        </w:rPr>
        <w:footnoteReference w:id="20"/>
      </w:r>
      <w:r w:rsidRPr="00440B9F">
        <w:rPr>
          <w:rFonts w:ascii="Palatino Linotype" w:hAnsi="Palatino Linotype" w:cs="Arial"/>
          <w:sz w:val="22"/>
          <w:szCs w:val="22"/>
        </w:rPr>
        <w:t xml:space="preserve"> </w:t>
      </w:r>
    </w:p>
    <w:p w:rsidR="00D42FBF" w:rsidRPr="00440B9F" w:rsidRDefault="00D42FBF" w:rsidP="001761FF">
      <w:pPr>
        <w:ind w:left="720" w:right="720"/>
        <w:jc w:val="both"/>
        <w:rPr>
          <w:rFonts w:ascii="Palatino Linotype" w:hAnsi="Palatino Linotype" w:cs="Arial"/>
          <w:sz w:val="22"/>
          <w:szCs w:val="22"/>
        </w:rPr>
      </w:pP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sz w:val="22"/>
          <w:szCs w:val="22"/>
        </w:rPr>
        <w:t>Through mission work, Sarah blurred (but could not erase) the confines placed upon her by American gender norms and pursued her evangelical calling through conducting devotional exercises at female prayer meetings and instructing Bible Classes.</w:t>
      </w:r>
      <w:r w:rsidRPr="00440B9F">
        <w:rPr>
          <w:rStyle w:val="FootnoteReference"/>
          <w:rFonts w:ascii="Palatino Linotype" w:hAnsi="Palatino Linotype" w:cs="Arial"/>
          <w:sz w:val="22"/>
          <w:szCs w:val="22"/>
        </w:rPr>
        <w:footnoteReference w:id="21"/>
      </w:r>
      <w:r w:rsidRPr="00440B9F">
        <w:rPr>
          <w:rFonts w:ascii="Palatino Linotype" w:hAnsi="Palatino Linotype" w:cs="Arial"/>
          <w:sz w:val="22"/>
          <w:szCs w:val="22"/>
        </w:rPr>
        <w:t xml:space="preserve"> ‘Domestic’ mission work also allowed women meet others who faced similar struggles and the men whom they could marry and pursue, together, their missionary callings.</w:t>
      </w:r>
    </w:p>
    <w:p w:rsidR="00D42FBF" w:rsidRPr="00440B9F" w:rsidRDefault="00D42FBF" w:rsidP="001761FF">
      <w:pPr>
        <w:spacing w:line="360" w:lineRule="auto"/>
        <w:jc w:val="both"/>
        <w:rPr>
          <w:rFonts w:ascii="Palatino Linotype" w:hAnsi="Palatino Linotype" w:cs="Arial"/>
          <w:sz w:val="22"/>
          <w:szCs w:val="22"/>
        </w:rPr>
      </w:pPr>
      <w:r>
        <w:rPr>
          <w:rFonts w:ascii="Palatino Linotype" w:hAnsi="Palatino Linotype" w:cs="Arial"/>
          <w:noProof/>
        </w:rPr>
        <w:drawing>
          <wp:anchor distT="0" distB="0" distL="114300" distR="114300" simplePos="0" relativeHeight="251670528" behindDoc="0" locked="0" layoutInCell="1" allowOverlap="1">
            <wp:simplePos x="0" y="0"/>
            <wp:positionH relativeFrom="margin">
              <wp:posOffset>2586355</wp:posOffset>
            </wp:positionH>
            <wp:positionV relativeFrom="page">
              <wp:posOffset>2241550</wp:posOffset>
            </wp:positionV>
            <wp:extent cx="2954655" cy="4159250"/>
            <wp:effectExtent l="38100" t="19050" r="17145" b="12700"/>
            <wp:wrapSquare wrapText="bothSides"/>
            <wp:docPr id="1" name="Picture 0" descr="sarah smit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rah smith.jpg"/>
                    <pic:cNvPicPr/>
                  </pic:nvPicPr>
                  <pic:blipFill>
                    <a:blip r:embed="rId8" cstate="print"/>
                    <a:stretch>
                      <a:fillRect/>
                    </a:stretch>
                  </pic:blipFill>
                  <pic:spPr>
                    <a:xfrm>
                      <a:off x="0" y="0"/>
                      <a:ext cx="2954655" cy="4159250"/>
                    </a:xfrm>
                    <a:prstGeom prst="rect">
                      <a:avLst/>
                    </a:prstGeom>
                    <a:ln>
                      <a:solidFill>
                        <a:schemeClr val="tx1"/>
                      </a:solidFill>
                    </a:ln>
                  </pic:spPr>
                </pic:pic>
              </a:graphicData>
            </a:graphic>
          </wp:anchor>
        </w:drawing>
      </w:r>
      <w:r w:rsidRPr="00440B9F">
        <w:rPr>
          <w:rFonts w:ascii="Palatino Linotype" w:hAnsi="Palatino Linotype" w:cs="Arial"/>
          <w:sz w:val="22"/>
          <w:szCs w:val="22"/>
        </w:rPr>
        <w:tab/>
        <w:t>After their marriage and upon arrival in Syria, the primary role for missionary women was to support the evangelical endeavour and the new Protestant community. The activities performed by married missionary women to fulfil this role during the early years reflected the women’s individual interests and qualifications. Similar to her work in the United States, Sarah Smith organised and taught at mission schools, trained boarding students, participated in female prayer meetings and exchanged visitations with Syrian woman. As a result, Sarah spent between three and four hours each day outside of her house, leaving her with little time to perform domestic chores.</w:t>
      </w:r>
      <w:r w:rsidRPr="00440B9F">
        <w:rPr>
          <w:rStyle w:val="FootnoteReference"/>
          <w:rFonts w:ascii="Palatino Linotype" w:hAnsi="Palatino Linotype" w:cs="Arial"/>
          <w:sz w:val="22"/>
          <w:szCs w:val="22"/>
        </w:rPr>
        <w:footnoteReference w:id="22"/>
      </w:r>
      <w:r w:rsidRPr="00440B9F">
        <w:rPr>
          <w:rFonts w:ascii="Palatino Linotype" w:hAnsi="Palatino Linotype" w:cs="Arial"/>
          <w:sz w:val="22"/>
          <w:szCs w:val="22"/>
        </w:rPr>
        <w:t xml:space="preserve"> Other married missionary women organised schools during this period in order to educate their own children as well as Syrian children.</w:t>
      </w:r>
      <w:r w:rsidRPr="00440B9F">
        <w:rPr>
          <w:rStyle w:val="FootnoteReference"/>
          <w:rFonts w:ascii="Palatino Linotype" w:hAnsi="Palatino Linotype" w:cs="Arial"/>
          <w:sz w:val="22"/>
          <w:szCs w:val="22"/>
        </w:rPr>
        <w:footnoteReference w:id="23"/>
      </w:r>
      <w:r w:rsidRPr="00440B9F">
        <w:rPr>
          <w:rFonts w:ascii="Palatino Linotype" w:hAnsi="Palatino Linotype" w:cs="Arial"/>
          <w:sz w:val="22"/>
          <w:szCs w:val="22"/>
        </w:rPr>
        <w:t xml:space="preserve"> This may have been a continuation of their previous teaching experiences, for it can be argued that, due to their high levels of formal education,</w:t>
      </w:r>
      <w:r w:rsidRPr="00440B9F">
        <w:rPr>
          <w:rStyle w:val="FootnoteReference"/>
          <w:rFonts w:ascii="Palatino Linotype" w:hAnsi="Palatino Linotype" w:cs="Arial"/>
          <w:sz w:val="22"/>
          <w:szCs w:val="22"/>
        </w:rPr>
        <w:t xml:space="preserve"> </w:t>
      </w:r>
      <w:r w:rsidRPr="00440B9F">
        <w:rPr>
          <w:rStyle w:val="FootnoteReference"/>
          <w:rFonts w:ascii="Palatino Linotype" w:hAnsi="Palatino Linotype" w:cs="Arial"/>
          <w:sz w:val="22"/>
          <w:szCs w:val="22"/>
        </w:rPr>
        <w:footnoteReference w:id="24"/>
      </w:r>
      <w:r w:rsidRPr="00440B9F">
        <w:rPr>
          <w:rFonts w:ascii="Palatino Linotype" w:hAnsi="Palatino Linotype" w:cs="Arial"/>
          <w:sz w:val="22"/>
          <w:szCs w:val="22"/>
        </w:rPr>
        <w:t xml:space="preserve"> most missionary women taught at home, Sabbath or common schools in the United States before commencing their missionary careers. </w:t>
      </w: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sz w:val="22"/>
          <w:szCs w:val="22"/>
        </w:rPr>
        <w:tab/>
        <w:t>During the 1830s and early 1840s, single missionary women were employed by the ABCFM to serve as ‘assistant missionaries’ at the Syrian Station. Their role was to work with married missionary women in providing for the Protestant community. Like married missionary women, the activities pursued by single missionaries to fulfil this role were determined by the women’s own interests and health, but often included teaching at schools and assisting in managing Protestant households. Numerous letters were sent from the missionaries in Syria to the ABCFM’s Prudential Committee in Boston requesting that female relatives or close friends be hired for such positions. Sarah Smith supported the application of Rebecca Williams, who was her former co-missionary to Amerindians in New York,</w:t>
      </w:r>
      <w:r w:rsidRPr="00440B9F">
        <w:rPr>
          <w:rStyle w:val="FootnoteReference"/>
          <w:rFonts w:ascii="Palatino Linotype" w:hAnsi="Palatino Linotype" w:cs="Arial"/>
          <w:sz w:val="22"/>
          <w:szCs w:val="22"/>
        </w:rPr>
        <w:footnoteReference w:id="25"/>
      </w:r>
      <w:r w:rsidRPr="00440B9F">
        <w:rPr>
          <w:rFonts w:ascii="Palatino Linotype" w:hAnsi="Palatino Linotype" w:cs="Arial"/>
          <w:sz w:val="22"/>
          <w:szCs w:val="22"/>
        </w:rPr>
        <w:t xml:space="preserve"> while Elias Beadle requested that his cousin, Eliza Foate, join his family in 1841.</w:t>
      </w:r>
      <w:r w:rsidRPr="00440B9F">
        <w:rPr>
          <w:rStyle w:val="FootnoteReference"/>
          <w:rFonts w:ascii="Palatino Linotype" w:hAnsi="Palatino Linotype" w:cs="Arial"/>
          <w:color w:val="000000"/>
          <w:sz w:val="22"/>
          <w:szCs w:val="22"/>
        </w:rPr>
        <w:footnoteReference w:id="26"/>
      </w:r>
      <w:r w:rsidRPr="00440B9F">
        <w:rPr>
          <w:rFonts w:ascii="Palatino Linotype" w:hAnsi="Palatino Linotype" w:cs="Arial"/>
          <w:sz w:val="22"/>
          <w:szCs w:val="22"/>
        </w:rPr>
        <w:t xml:space="preserve"> Despite these numerous requests, the ABCFM hired only a few single women to serve as assistant missionaries. This hesitancy was reinforced by the precariousness of the women’s position, for many wed single missionary men, became ill and returned to the United States, or died at the station.</w:t>
      </w:r>
      <w:r w:rsidRPr="00440B9F">
        <w:rPr>
          <w:rStyle w:val="FootnoteReference"/>
          <w:rFonts w:ascii="Palatino Linotype" w:hAnsi="Palatino Linotype" w:cs="Arial"/>
          <w:sz w:val="22"/>
          <w:szCs w:val="22"/>
        </w:rPr>
        <w:footnoteReference w:id="27"/>
      </w:r>
      <w:r w:rsidRPr="00440B9F">
        <w:rPr>
          <w:rFonts w:ascii="Palatino Linotype" w:hAnsi="Palatino Linotype" w:cs="Arial"/>
          <w:sz w:val="22"/>
          <w:szCs w:val="22"/>
        </w:rPr>
        <w:t xml:space="preserve"> One interesting ‘assistant missionary’ for the Syrian Station was ‘Miss Badger’.</w:t>
      </w:r>
      <w:r w:rsidRPr="00440B9F">
        <w:rPr>
          <w:rStyle w:val="FootnoteReference"/>
          <w:rFonts w:ascii="Palatino Linotype" w:hAnsi="Palatino Linotype" w:cs="Arial"/>
          <w:sz w:val="22"/>
          <w:szCs w:val="22"/>
        </w:rPr>
        <w:footnoteReference w:id="28"/>
      </w:r>
      <w:r w:rsidRPr="00440B9F">
        <w:rPr>
          <w:rFonts w:ascii="Palatino Linotype" w:hAnsi="Palatino Linotype" w:cs="Arial"/>
          <w:sz w:val="22"/>
          <w:szCs w:val="22"/>
        </w:rPr>
        <w:t xml:space="preserve"> Unlike other missionaries, she was an English citizen who was raised in Malta, along with her brother George, a printer and translator for the CMS.</w:t>
      </w:r>
      <w:r w:rsidRPr="00440B9F">
        <w:rPr>
          <w:rStyle w:val="FootnoteReference"/>
          <w:rFonts w:ascii="Palatino Linotype" w:hAnsi="Palatino Linotype" w:cs="Arial"/>
          <w:sz w:val="22"/>
          <w:szCs w:val="22"/>
        </w:rPr>
        <w:footnoteReference w:id="29"/>
      </w:r>
      <w:r w:rsidRPr="00440B9F">
        <w:rPr>
          <w:rFonts w:ascii="Palatino Linotype" w:hAnsi="Palatino Linotype" w:cs="Arial"/>
          <w:sz w:val="22"/>
          <w:szCs w:val="22"/>
        </w:rPr>
        <w:t xml:space="preserve"> Miss Badger was hired by the ABCFM due to her knowledge of both English and Maltese. Her assigned role was to run common schools for Syrian children in Beirut; a role in which she received praises from the ABCFM missionaries for successfully fulfilling.</w:t>
      </w:r>
      <w:r w:rsidRPr="00440B9F">
        <w:rPr>
          <w:rStyle w:val="FootnoteReference"/>
          <w:rFonts w:ascii="Palatino Linotype" w:hAnsi="Palatino Linotype" w:cs="Arial"/>
          <w:sz w:val="22"/>
          <w:szCs w:val="22"/>
        </w:rPr>
        <w:footnoteReference w:id="30"/>
      </w:r>
      <w:r w:rsidRPr="00440B9F">
        <w:rPr>
          <w:rFonts w:ascii="Palatino Linotype" w:hAnsi="Palatino Linotype" w:cs="Arial"/>
          <w:sz w:val="22"/>
          <w:szCs w:val="22"/>
        </w:rPr>
        <w:t xml:space="preserve"> </w:t>
      </w: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sz w:val="22"/>
          <w:szCs w:val="22"/>
        </w:rPr>
        <w:tab/>
        <w:t xml:space="preserve">Although the activities of missionary women, single or married, were not strictly delineated by the ABCFM during the early years, their position within the community was affected by their gender. Men were regarded as the official missionaries by the ABCFM, while their wives and single female colleagues were designated as their ‘assistants’. The majority of the ‘official’ work at the Syrian Station was performed by men, which was reported to the Prudential Committee through ‘Annual Reviews’ and conveyed to the American populace through the </w:t>
      </w:r>
      <w:r w:rsidRPr="00440B9F">
        <w:rPr>
          <w:rFonts w:ascii="Palatino Linotype" w:hAnsi="Palatino Linotype" w:cs="Arial"/>
          <w:i/>
          <w:sz w:val="22"/>
          <w:szCs w:val="22"/>
        </w:rPr>
        <w:t>Missionary Herald</w:t>
      </w:r>
      <w:r w:rsidRPr="00440B9F">
        <w:rPr>
          <w:rFonts w:ascii="Palatino Linotype" w:hAnsi="Palatino Linotype" w:cs="Arial"/>
          <w:sz w:val="22"/>
          <w:szCs w:val="22"/>
        </w:rPr>
        <w:t>. These reports show that, similar to practices in the United States and Ottoman Syria, Protestant women did not conduct religious services or lead prayers over large, mixed-sex audiences. Rather, women held convocations with other women and children, and possibly servants, both within their homes and during private visitations.</w:t>
      </w:r>
      <w:r w:rsidRPr="00440B9F">
        <w:rPr>
          <w:rStyle w:val="FootnoteReference"/>
          <w:rFonts w:ascii="Palatino Linotype" w:hAnsi="Palatino Linotype" w:cs="Arial"/>
          <w:sz w:val="22"/>
          <w:szCs w:val="22"/>
        </w:rPr>
        <w:footnoteReference w:id="31"/>
      </w:r>
      <w:r w:rsidRPr="00440B9F">
        <w:rPr>
          <w:rFonts w:ascii="Palatino Linotype" w:hAnsi="Palatino Linotype" w:cs="Arial"/>
          <w:sz w:val="22"/>
          <w:szCs w:val="22"/>
        </w:rPr>
        <w:t xml:space="preserve"> Women were prohibited from attending official missionary meetings, except for when they were invited to sit as ‘silent spectators’.</w:t>
      </w:r>
      <w:r w:rsidRPr="00440B9F">
        <w:rPr>
          <w:rStyle w:val="FootnoteReference"/>
          <w:rFonts w:ascii="Palatino Linotype" w:hAnsi="Palatino Linotype" w:cs="Arial"/>
          <w:sz w:val="22"/>
          <w:szCs w:val="22"/>
        </w:rPr>
        <w:footnoteReference w:id="32"/>
      </w:r>
      <w:r w:rsidRPr="00440B9F">
        <w:rPr>
          <w:rFonts w:ascii="Palatino Linotype" w:hAnsi="Palatino Linotype" w:cs="Arial"/>
          <w:sz w:val="22"/>
          <w:szCs w:val="22"/>
        </w:rPr>
        <w:t xml:space="preserve"> This gendered hierarchy affected the monetary support given by the ABCFM to the Syrian Station. While the Protestants regarded female education to be an important channel to engage with and reform Syrian women, their petitions for more money and female teachers were laced with the fears that this branch of work would be closed in order to focus upon the ‘real’ missionary work of evangelism and training pastors.</w:t>
      </w:r>
      <w:r w:rsidRPr="00440B9F">
        <w:rPr>
          <w:rStyle w:val="FootnoteReference"/>
          <w:rFonts w:ascii="Palatino Linotype" w:hAnsi="Palatino Linotype" w:cs="Arial"/>
          <w:sz w:val="22"/>
          <w:szCs w:val="22"/>
        </w:rPr>
        <w:footnoteReference w:id="33"/>
      </w:r>
      <w:r w:rsidRPr="00440B9F">
        <w:rPr>
          <w:rFonts w:ascii="Palatino Linotype" w:hAnsi="Palatino Linotype" w:cs="Arial"/>
          <w:sz w:val="22"/>
          <w:szCs w:val="22"/>
        </w:rPr>
        <w:t xml:space="preserve"> </w:t>
      </w: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sz w:val="22"/>
          <w:szCs w:val="22"/>
        </w:rPr>
        <w:tab/>
        <w:t>During the late 1840s and 1850s, the idealised roles for missionary women were limited by the narrowing of gender within the Protestant Circle to a more rigid binary. The new role for a married missionary woman was to support her husband in conducting his missionary work. One way that a missionary wife performed this role was to maintain a well-run household. In 1848, Hetty Smith wrote:</w:t>
      </w:r>
      <w:r w:rsidRPr="00440B9F">
        <w:rPr>
          <w:rFonts w:ascii="Palatino Linotype" w:hAnsi="Palatino Linotype" w:cs="Arial"/>
          <w:sz w:val="22"/>
          <w:szCs w:val="22"/>
        </w:rPr>
        <w:tab/>
      </w:r>
    </w:p>
    <w:p w:rsidR="00D42FBF" w:rsidRDefault="00D42FBF" w:rsidP="001761FF">
      <w:pPr>
        <w:ind w:left="720" w:right="720"/>
        <w:jc w:val="both"/>
        <w:rPr>
          <w:rFonts w:ascii="Palatino Linotype" w:hAnsi="Palatino Linotype" w:cs="Arial"/>
        </w:rPr>
      </w:pPr>
      <w:r w:rsidRPr="00440B9F">
        <w:rPr>
          <w:rFonts w:ascii="Palatino Linotype" w:hAnsi="Palatino Linotype" w:cs="Arial"/>
          <w:sz w:val="22"/>
          <w:szCs w:val="22"/>
        </w:rPr>
        <w:t>I do not intend to forget the instructions I received in Boston-“first of all it is your duty to take care of your husband.” The work he has undertaken is one of such importance and his life and health are so valuable to the church I must do all I can for his comfort-for this reason I give more thought to providing for the table and such like things than I otherwise should-not to make nice things but to see that all things are prepared so that they will not injure him.</w:t>
      </w:r>
      <w:r w:rsidRPr="00440B9F">
        <w:rPr>
          <w:rStyle w:val="FootnoteReference"/>
          <w:rFonts w:ascii="Palatino Linotype" w:hAnsi="Palatino Linotype" w:cs="Arial"/>
          <w:sz w:val="22"/>
          <w:szCs w:val="22"/>
        </w:rPr>
        <w:footnoteReference w:id="34"/>
      </w:r>
      <w:r w:rsidRPr="00440B9F">
        <w:rPr>
          <w:rFonts w:ascii="Palatino Linotype" w:hAnsi="Palatino Linotype" w:cs="Arial"/>
          <w:sz w:val="22"/>
          <w:szCs w:val="22"/>
        </w:rPr>
        <w:t xml:space="preserve"> </w:t>
      </w:r>
    </w:p>
    <w:p w:rsidR="00D42FBF" w:rsidRPr="00440B9F" w:rsidRDefault="00D42FBF" w:rsidP="001761FF">
      <w:pPr>
        <w:ind w:left="720" w:right="720"/>
        <w:jc w:val="both"/>
        <w:rPr>
          <w:rFonts w:ascii="Palatino Linotype" w:hAnsi="Palatino Linotype" w:cs="Arial"/>
          <w:sz w:val="22"/>
          <w:szCs w:val="22"/>
        </w:rPr>
      </w:pP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sz w:val="22"/>
          <w:szCs w:val="22"/>
        </w:rPr>
        <w:t>Hetty’s role, as a missionary wife, contrasted that performed by Eli’s first wife Sarah, whose ‘commitment to mission preceded [her] commitment to the husband’ during the 1830s.</w:t>
      </w:r>
      <w:r w:rsidRPr="00440B9F">
        <w:rPr>
          <w:rStyle w:val="FootnoteReference"/>
          <w:rFonts w:ascii="Palatino Linotype" w:hAnsi="Palatino Linotype" w:cs="Arial"/>
          <w:sz w:val="22"/>
          <w:szCs w:val="22"/>
        </w:rPr>
        <w:footnoteReference w:id="35"/>
      </w:r>
      <w:r w:rsidRPr="00440B9F">
        <w:rPr>
          <w:rFonts w:ascii="Palatino Linotype" w:hAnsi="Palatino Linotype" w:cs="Arial"/>
          <w:sz w:val="22"/>
          <w:szCs w:val="22"/>
        </w:rPr>
        <w:t xml:space="preserve"> Instead of being concerned, like Sarah, with how domestic responsibilities drew her away from engaging with Syrians, Hetty argued in 1847 that ‘the care of my husband…is most </w:t>
      </w:r>
      <w:r w:rsidRPr="00440B9F">
        <w:rPr>
          <w:rFonts w:ascii="Palatino Linotype" w:hAnsi="Palatino Linotype" w:cs="Arial"/>
          <w:sz w:val="22"/>
          <w:szCs w:val="22"/>
          <w:u w:val="single"/>
        </w:rPr>
        <w:t>agreeable missionary</w:t>
      </w:r>
      <w:r w:rsidRPr="00440B9F">
        <w:rPr>
          <w:rFonts w:ascii="Palatino Linotype" w:hAnsi="Palatino Linotype" w:cs="Arial"/>
          <w:sz w:val="22"/>
          <w:szCs w:val="22"/>
        </w:rPr>
        <w:t xml:space="preserve"> work’.</w:t>
      </w:r>
      <w:r w:rsidRPr="00440B9F">
        <w:rPr>
          <w:rStyle w:val="FootnoteReference"/>
          <w:rFonts w:ascii="Palatino Linotype" w:hAnsi="Palatino Linotype" w:cs="Arial"/>
          <w:sz w:val="22"/>
          <w:szCs w:val="22"/>
        </w:rPr>
        <w:footnoteReference w:id="36"/>
      </w:r>
      <w:r w:rsidRPr="00440B9F">
        <w:rPr>
          <w:rFonts w:ascii="Palatino Linotype" w:hAnsi="Palatino Linotype" w:cs="Arial"/>
          <w:sz w:val="22"/>
          <w:szCs w:val="22"/>
        </w:rPr>
        <w:t xml:space="preserve"> </w:t>
      </w: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sz w:val="22"/>
          <w:szCs w:val="22"/>
        </w:rPr>
        <w:tab/>
        <w:t>However, this new role for married missionary women was viewed by the ABCFM as problematic for the evangelical goals of the Syrian Station. As early as 1842, Rufus Anderson, the Foreign Secretary of the ABCFM, lamented that the demands of missionary families restricted the amount of work carried out on the mission field. Anderson argued that missionary wives and mothers were hesitant to reside at locations that did not have certified doctors, while the number of deaths and missionaries returned to the United States was higher for wives than for single missionaries (the latter’s gender was not specified).</w:t>
      </w:r>
      <w:r w:rsidRPr="00440B9F">
        <w:rPr>
          <w:rStyle w:val="FootnoteReference"/>
          <w:rFonts w:ascii="Palatino Linotype" w:hAnsi="Palatino Linotype" w:cs="Arial"/>
          <w:sz w:val="22"/>
          <w:szCs w:val="22"/>
        </w:rPr>
        <w:footnoteReference w:id="37"/>
      </w:r>
      <w:r w:rsidRPr="00440B9F">
        <w:rPr>
          <w:rFonts w:ascii="Palatino Linotype" w:hAnsi="Palatino Linotype" w:cs="Arial"/>
          <w:sz w:val="22"/>
          <w:szCs w:val="22"/>
        </w:rPr>
        <w:t xml:space="preserve"> Although Anderson maintained that women ‘in her appropriate sphere…is as courageous and self-denying as man’, he perceived the (increasingly narrowed) work of women to be a liability for the ABCFM, which also reveals the burgeoning tensions between the ABCFM and women missionaries, which erupted after 1860.</w:t>
      </w:r>
      <w:r w:rsidRPr="00440B9F">
        <w:rPr>
          <w:rStyle w:val="FootnoteReference"/>
          <w:rFonts w:ascii="Palatino Linotype" w:hAnsi="Palatino Linotype" w:cs="Arial"/>
          <w:sz w:val="22"/>
          <w:szCs w:val="22"/>
        </w:rPr>
        <w:footnoteReference w:id="38"/>
      </w:r>
      <w:r w:rsidRPr="00440B9F">
        <w:rPr>
          <w:rFonts w:ascii="Palatino Linotype" w:hAnsi="Palatino Linotype" w:cs="Arial"/>
          <w:sz w:val="22"/>
          <w:szCs w:val="22"/>
        </w:rPr>
        <w:t xml:space="preserve"> </w:t>
      </w: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sz w:val="22"/>
          <w:szCs w:val="22"/>
        </w:rPr>
        <w:tab/>
        <w:t>To correct the ‘problem’ of married missionary women, the roles for single female missionaries was also reconfigured. While married missionary women limited their work to providing for their families, the few single missionary women who were hired by the ABCFM or affiliated with the Syrian Station, served as teachers for Syrian women and children, and occasionally for missionary children.</w:t>
      </w:r>
      <w:r w:rsidRPr="00440B9F">
        <w:rPr>
          <w:rStyle w:val="FootnoteReference"/>
          <w:rFonts w:ascii="Palatino Linotype" w:hAnsi="Palatino Linotype" w:cs="Arial"/>
          <w:sz w:val="22"/>
          <w:szCs w:val="22"/>
        </w:rPr>
        <w:footnoteReference w:id="39"/>
      </w:r>
      <w:r w:rsidRPr="00440B9F">
        <w:rPr>
          <w:rFonts w:ascii="Palatino Linotype" w:hAnsi="Palatino Linotype" w:cs="Arial"/>
          <w:sz w:val="22"/>
          <w:szCs w:val="22"/>
        </w:rPr>
        <w:t xml:space="preserve"> These single missionary women were classified as part of married missionary women’s household, emphasising that their work complimented that provided by their married colleagues.</w:t>
      </w:r>
      <w:r w:rsidRPr="00440B9F">
        <w:rPr>
          <w:rStyle w:val="FootnoteReference"/>
          <w:rFonts w:ascii="Palatino Linotype" w:hAnsi="Palatino Linotype" w:cs="Arial"/>
          <w:sz w:val="22"/>
          <w:szCs w:val="22"/>
        </w:rPr>
        <w:footnoteReference w:id="40"/>
      </w:r>
      <w:r w:rsidRPr="00440B9F">
        <w:rPr>
          <w:rFonts w:ascii="Palatino Linotype" w:hAnsi="Palatino Linotype" w:cs="Arial"/>
          <w:sz w:val="22"/>
          <w:szCs w:val="22"/>
        </w:rPr>
        <w:t xml:space="preserve"> </w:t>
      </w: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sz w:val="22"/>
          <w:szCs w:val="22"/>
        </w:rPr>
        <w:tab/>
        <w:t xml:space="preserve">However, circumstances in Syria often prevented these changes from being fully actualised. The single missionary </w:t>
      </w:r>
      <w:r w:rsidRPr="00440B9F">
        <w:rPr>
          <w:rFonts w:ascii="Palatino Linotype" w:hAnsi="Palatino Linotype"/>
          <w:sz w:val="22"/>
          <w:szCs w:val="22"/>
        </w:rPr>
        <w:t>Anna Louisa Whittlesey died roughly a year after arriving in Syria,</w:t>
      </w:r>
      <w:r w:rsidRPr="00440B9F">
        <w:rPr>
          <w:rStyle w:val="FootnoteReference"/>
          <w:rFonts w:ascii="Palatino Linotype" w:hAnsi="Palatino Linotype"/>
          <w:sz w:val="22"/>
          <w:szCs w:val="22"/>
        </w:rPr>
        <w:footnoteReference w:id="41"/>
      </w:r>
      <w:r w:rsidRPr="00440B9F">
        <w:rPr>
          <w:rFonts w:ascii="Palatino Linotype" w:hAnsi="Palatino Linotype"/>
          <w:sz w:val="22"/>
          <w:szCs w:val="22"/>
        </w:rPr>
        <w:t xml:space="preserve"> while the school run by Amelia Temple was disrupted by the outbreak of war in 1860.</w:t>
      </w:r>
      <w:r w:rsidRPr="00440B9F">
        <w:rPr>
          <w:rStyle w:val="FootnoteReference"/>
          <w:rFonts w:ascii="Palatino Linotype" w:hAnsi="Palatino Linotype" w:cs="Arial"/>
          <w:sz w:val="22"/>
          <w:szCs w:val="22"/>
        </w:rPr>
        <w:footnoteReference w:id="42"/>
      </w:r>
      <w:r w:rsidRPr="00440B9F">
        <w:rPr>
          <w:rFonts w:ascii="Palatino Linotype" w:hAnsi="Palatino Linotype"/>
          <w:sz w:val="22"/>
          <w:szCs w:val="22"/>
        </w:rPr>
        <w:t xml:space="preserve"> Like all new missionaries, single female missionaries lacked the language skills needed to conduct schools and visit Syrian women upon arrival. As a result, </w:t>
      </w:r>
      <w:r w:rsidRPr="00440B9F">
        <w:rPr>
          <w:rFonts w:ascii="Palatino Linotype" w:hAnsi="Palatino Linotype" w:cs="Arial"/>
          <w:sz w:val="22"/>
          <w:szCs w:val="22"/>
        </w:rPr>
        <w:t>married missionary women, such as Catherine DeForest and Matilda Whiting, continued to provide educational services for Syrian women. However, as Catherine and Matilda’s works was focused primarily upon those living in their households (and other close associates), their activities upheld the narrowing of married missionary women’s work to that for the members of their households.</w:t>
      </w: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sz w:val="22"/>
          <w:szCs w:val="22"/>
        </w:rPr>
        <w:tab/>
        <w:t>These (idealised) changes reinforced the gendered hierarchy already functioning within the Protestant Circle. The ‘official’ work of missions continued to be conducted by men, with missionary women marginalised to assistant and auxiliary positions.</w:t>
      </w:r>
      <w:r w:rsidRPr="00440B9F">
        <w:rPr>
          <w:rFonts w:ascii="Palatino Linotype" w:hAnsi="Palatino Linotype" w:cs="Arial"/>
          <w:sz w:val="22"/>
          <w:szCs w:val="22"/>
          <w:vertAlign w:val="superscript"/>
        </w:rPr>
        <w:footnoteReference w:id="43"/>
      </w:r>
      <w:r w:rsidRPr="00440B9F">
        <w:rPr>
          <w:rFonts w:ascii="Palatino Linotype" w:hAnsi="Palatino Linotype" w:cs="Arial"/>
          <w:sz w:val="22"/>
          <w:szCs w:val="22"/>
        </w:rPr>
        <w:t xml:space="preserve"> Missionary women were also denied access to the new leadership positions that developed within the community, including that of presbyter and elder for the ECB.</w:t>
      </w:r>
      <w:r w:rsidRPr="00440B9F">
        <w:rPr>
          <w:rStyle w:val="FootnoteReference"/>
          <w:rFonts w:ascii="Palatino Linotype" w:hAnsi="Palatino Linotype" w:cs="Arial"/>
          <w:sz w:val="22"/>
          <w:szCs w:val="22"/>
        </w:rPr>
        <w:footnoteReference w:id="44"/>
      </w:r>
      <w:r w:rsidRPr="00440B9F">
        <w:rPr>
          <w:rFonts w:ascii="Palatino Linotype" w:hAnsi="Palatino Linotype" w:cs="Arial"/>
          <w:sz w:val="22"/>
          <w:szCs w:val="22"/>
        </w:rPr>
        <w:t xml:space="preserve"> Despite the persistence of this gendered hierarchy, the activities of missionary women in constructing and nurturing the Protestant Circle can not be overlooked.  </w:t>
      </w:r>
    </w:p>
    <w:p w:rsidR="00D42FBF" w:rsidRPr="00440B9F" w:rsidRDefault="00D42FBF" w:rsidP="001761FF">
      <w:pPr>
        <w:spacing w:line="360" w:lineRule="auto"/>
        <w:jc w:val="both"/>
        <w:rPr>
          <w:rFonts w:ascii="Palatino Linotype" w:hAnsi="Palatino Linotype" w:cs="Arial"/>
          <w:sz w:val="22"/>
          <w:szCs w:val="22"/>
        </w:rPr>
      </w:pPr>
    </w:p>
    <w:p w:rsidR="00D42FBF" w:rsidRPr="00440B9F" w:rsidRDefault="00D42FBF" w:rsidP="001761FF">
      <w:pPr>
        <w:spacing w:line="360" w:lineRule="auto"/>
        <w:jc w:val="center"/>
        <w:rPr>
          <w:rFonts w:ascii="Arial" w:hAnsi="Arial" w:cs="Arial"/>
          <w:i/>
          <w:smallCaps/>
          <w:sz w:val="22"/>
          <w:szCs w:val="22"/>
        </w:rPr>
      </w:pPr>
      <w:r w:rsidRPr="00440B9F">
        <w:rPr>
          <w:rFonts w:ascii="Arial" w:hAnsi="Arial" w:cs="Arial"/>
          <w:i/>
          <w:smallCaps/>
          <w:sz w:val="22"/>
          <w:szCs w:val="22"/>
        </w:rPr>
        <w:t>The Roles for Syrian Women</w:t>
      </w:r>
    </w:p>
    <w:p w:rsidR="00D42FBF" w:rsidRPr="00440B9F" w:rsidRDefault="00D42FBF" w:rsidP="001761FF">
      <w:pPr>
        <w:spacing w:line="360" w:lineRule="auto"/>
        <w:jc w:val="both"/>
        <w:rPr>
          <w:rFonts w:ascii="Palatino Linotype" w:hAnsi="Palatino Linotype" w:cs="Arial"/>
          <w:sz w:val="22"/>
          <w:szCs w:val="22"/>
        </w:rPr>
      </w:pP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sz w:val="22"/>
          <w:szCs w:val="22"/>
        </w:rPr>
        <w:t xml:space="preserve">Like missionary women, the primary role for Syrian women in the Protestant Circle was to encourage Protestant conversion and the development of the new community. The principle means through which Syrian women fulfilled their role was through serving as models for Protestantism to others. The divisions amongst Syrian women affected the ways that this role was defined and actualised. The age at which a woman joined the Protestant Circle was the most important criterion of distinction amongst Syrian Protestant women. In this section, ‘old’ refers to the women who joined the Circle when they were adults. These women served as exemplars through maintaining a Protestant commitment despite the difficulties that it created for them. ‘Young’ defines those who joined the Circle when they were children and were raised primarily within the Protestant community. These women embodied Protestant womanhood more completely than older women, which they demonstrated through serving as teachers and becoming the wives and mothers of Protestant families. </w:t>
      </w: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sz w:val="22"/>
          <w:szCs w:val="22"/>
        </w:rPr>
        <w:tab/>
        <w:t>The Syrian women who joined the Protestant Circle as adults embodied a culture that was similar to their non-Protestant Syrian neighbours through the clothing they wore, the food they ate and the mannerism they upheld. Participation in the Protestant Circle however, demanded that these women reconfigure their lifestyles and adapt to the new culture of the community; which they did so in varying degrees. Although the women asserted a Protestant commitment, the ABCFM often viewed older women with caution and feared that they would ‘backslide’ to their previous religious and social practices.</w:t>
      </w:r>
      <w:r w:rsidRPr="00440B9F">
        <w:rPr>
          <w:rStyle w:val="FootnoteReference"/>
          <w:rFonts w:ascii="Palatino Linotype" w:hAnsi="Palatino Linotype" w:cs="Arial"/>
          <w:sz w:val="22"/>
          <w:szCs w:val="22"/>
        </w:rPr>
        <w:footnoteReference w:id="45"/>
      </w:r>
      <w:r w:rsidRPr="00440B9F">
        <w:rPr>
          <w:rFonts w:ascii="Palatino Linotype" w:hAnsi="Palatino Linotype" w:cs="Arial"/>
          <w:sz w:val="22"/>
          <w:szCs w:val="22"/>
        </w:rPr>
        <w:t xml:space="preserve"> As a result, many older Syrian Protestant women were relegated to peripheral positions within the Protestant Circle.</w:t>
      </w: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sz w:val="22"/>
          <w:szCs w:val="22"/>
        </w:rPr>
        <w:tab/>
        <w:t>Nonetheless, some older Syrian Protestant women were positively received and promoted as examples of Protestant commitment for others. Most of these women were initially affiliated with the Protestants through their husbands or children,</w:t>
      </w:r>
      <w:r w:rsidRPr="00440B9F">
        <w:rPr>
          <w:rStyle w:val="FootnoteReference"/>
          <w:rFonts w:ascii="Palatino Linotype" w:hAnsi="Palatino Linotype" w:cs="Arial"/>
          <w:sz w:val="22"/>
          <w:szCs w:val="22"/>
        </w:rPr>
        <w:footnoteReference w:id="46"/>
      </w:r>
      <w:r w:rsidRPr="00440B9F">
        <w:rPr>
          <w:rFonts w:ascii="Palatino Linotype" w:hAnsi="Palatino Linotype" w:cs="Arial"/>
          <w:sz w:val="22"/>
          <w:szCs w:val="22"/>
        </w:rPr>
        <w:t xml:space="preserve"> but became members of the Mission Church or the ECB through their own activities.</w:t>
      </w:r>
      <w:r w:rsidRPr="00440B9F">
        <w:rPr>
          <w:rStyle w:val="FootnoteReference"/>
          <w:rFonts w:ascii="Palatino Linotype" w:hAnsi="Palatino Linotype" w:cs="Arial"/>
          <w:sz w:val="22"/>
          <w:szCs w:val="22"/>
        </w:rPr>
        <w:footnoteReference w:id="47"/>
      </w:r>
      <w:r w:rsidRPr="00440B9F">
        <w:rPr>
          <w:rFonts w:ascii="Palatino Linotype" w:hAnsi="Palatino Linotype" w:cs="Arial"/>
          <w:sz w:val="22"/>
          <w:szCs w:val="22"/>
        </w:rPr>
        <w:t xml:space="preserve"> They pursued the Protestant faith by attending Protestant Sabbath services and weekly prayer meetings.</w:t>
      </w:r>
      <w:r w:rsidRPr="00440B9F">
        <w:rPr>
          <w:rStyle w:val="FootnoteReference"/>
          <w:rFonts w:ascii="Palatino Linotype" w:hAnsi="Palatino Linotype" w:cs="Arial"/>
          <w:sz w:val="22"/>
          <w:szCs w:val="22"/>
        </w:rPr>
        <w:footnoteReference w:id="48"/>
      </w:r>
      <w:r w:rsidRPr="00440B9F">
        <w:rPr>
          <w:rFonts w:ascii="Palatino Linotype" w:hAnsi="Palatino Linotype" w:cs="Arial"/>
          <w:sz w:val="22"/>
          <w:szCs w:val="22"/>
        </w:rPr>
        <w:t xml:space="preserve"> Some were employed by the ABCFM missionaries as servants or assistants in schools, while most sent their children to acquire a Protestant education.</w:t>
      </w:r>
      <w:r w:rsidRPr="00440B9F">
        <w:rPr>
          <w:rFonts w:ascii="Palatino Linotype" w:hAnsi="Palatino Linotype" w:cs="Arial"/>
          <w:sz w:val="22"/>
          <w:szCs w:val="22"/>
          <w:vertAlign w:val="superscript"/>
        </w:rPr>
        <w:footnoteReference w:id="49"/>
      </w:r>
      <w:r w:rsidRPr="00440B9F">
        <w:rPr>
          <w:rFonts w:ascii="Palatino Linotype" w:hAnsi="Palatino Linotype" w:cs="Arial"/>
          <w:sz w:val="22"/>
          <w:szCs w:val="22"/>
        </w:rPr>
        <w:t xml:space="preserve"> Even if illiterate, these older women enacted proper Protestant behaviour at church by quietly listening to sermons and reciting Bible stories.</w:t>
      </w:r>
      <w:r w:rsidRPr="00440B9F">
        <w:rPr>
          <w:rStyle w:val="FootnoteReference"/>
          <w:rFonts w:ascii="Palatino Linotype" w:hAnsi="Palatino Linotype" w:cs="Arial"/>
          <w:sz w:val="22"/>
          <w:szCs w:val="22"/>
        </w:rPr>
        <w:footnoteReference w:id="50"/>
      </w:r>
      <w:r w:rsidRPr="00440B9F">
        <w:rPr>
          <w:rFonts w:ascii="Palatino Linotype" w:hAnsi="Palatino Linotype" w:cs="Arial"/>
          <w:sz w:val="22"/>
          <w:szCs w:val="22"/>
        </w:rPr>
        <w:t xml:space="preserve"> </w:t>
      </w: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sz w:val="22"/>
          <w:szCs w:val="22"/>
        </w:rPr>
        <w:tab/>
        <w:t>Some of the older Syrian Protestant women faced discrimination because of their conversion. Threats of excommunication were voiced by ecclesiastical leaders against the women who worked in the homes of the missionaries or who sent their children to Protestant schools.</w:t>
      </w:r>
      <w:r w:rsidRPr="00440B9F">
        <w:rPr>
          <w:rStyle w:val="FootnoteReference"/>
          <w:rFonts w:ascii="Palatino Linotype" w:hAnsi="Palatino Linotype" w:cs="Arial"/>
          <w:sz w:val="22"/>
          <w:szCs w:val="22"/>
        </w:rPr>
        <w:footnoteReference w:id="51"/>
      </w:r>
      <w:r w:rsidRPr="00440B9F">
        <w:rPr>
          <w:rFonts w:ascii="Palatino Linotype" w:hAnsi="Palatino Linotype" w:cs="Arial"/>
          <w:sz w:val="22"/>
          <w:szCs w:val="22"/>
        </w:rPr>
        <w:t xml:space="preserve"> Some were even targeted with violence by their non-Protestant neighbours.</w:t>
      </w:r>
      <w:r w:rsidRPr="00440B9F">
        <w:rPr>
          <w:rStyle w:val="FootnoteReference"/>
          <w:rFonts w:ascii="Palatino Linotype" w:hAnsi="Palatino Linotype" w:cs="Arial"/>
          <w:sz w:val="22"/>
          <w:szCs w:val="22"/>
        </w:rPr>
        <w:footnoteReference w:id="52"/>
      </w:r>
      <w:r w:rsidRPr="00440B9F">
        <w:rPr>
          <w:rFonts w:ascii="Palatino Linotype" w:hAnsi="Palatino Linotype" w:cs="Arial"/>
          <w:sz w:val="22"/>
          <w:szCs w:val="22"/>
        </w:rPr>
        <w:t xml:space="preserve"> It was through maintaining their commitment to the Protestant Circle despite their struggles in learning Protestant religious practices and in persevering through incidents of persecution that some older Syrian Protestant women were promoted as models of Protestant womanhood to their neighbours.</w:t>
      </w:r>
      <w:r w:rsidRPr="00440B9F">
        <w:rPr>
          <w:rStyle w:val="FootnoteReference"/>
          <w:rFonts w:ascii="Palatino Linotype" w:hAnsi="Palatino Linotype" w:cs="Arial"/>
          <w:sz w:val="22"/>
          <w:szCs w:val="22"/>
        </w:rPr>
        <w:footnoteReference w:id="53"/>
      </w:r>
      <w:r w:rsidRPr="00440B9F">
        <w:rPr>
          <w:rFonts w:ascii="Palatino Linotype" w:hAnsi="Palatino Linotype" w:cs="Arial"/>
          <w:sz w:val="22"/>
          <w:szCs w:val="22"/>
        </w:rPr>
        <w:t xml:space="preserve"> </w:t>
      </w: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sz w:val="22"/>
          <w:szCs w:val="22"/>
        </w:rPr>
        <w:tab/>
        <w:t>The women who joined the Protestant Circle when they were children embodied another standard of Protestantism for Syrians. Some of these women had Protestant parents, although their defining characteristic was being educated at the boarding and common schools run by the ABCFM missionaries. Due to this education, the culture and religion of these young women were better regulated by the ABCFM missionaries and more consistently upheld their ideals of Protestant womanhood.</w:t>
      </w:r>
      <w:r w:rsidRPr="00440B9F">
        <w:rPr>
          <w:rStyle w:val="FootnoteReference"/>
          <w:rFonts w:ascii="Palatino Linotype" w:hAnsi="Palatino Linotype" w:cs="Arial"/>
          <w:sz w:val="22"/>
          <w:szCs w:val="22"/>
        </w:rPr>
        <w:footnoteReference w:id="54"/>
      </w:r>
      <w:r w:rsidRPr="00440B9F">
        <w:rPr>
          <w:rFonts w:ascii="Palatino Linotype" w:hAnsi="Palatino Linotype" w:cs="Arial"/>
          <w:sz w:val="22"/>
          <w:szCs w:val="22"/>
        </w:rPr>
        <w:t xml:space="preserve"> This allowed for young Syrian women to serve as ‘female helpers in the great work of evangelizing this community’.</w:t>
      </w:r>
      <w:r w:rsidRPr="00440B9F">
        <w:rPr>
          <w:rStyle w:val="FootnoteReference"/>
          <w:rFonts w:ascii="Palatino Linotype" w:hAnsi="Palatino Linotype" w:cs="Arial"/>
          <w:sz w:val="22"/>
          <w:szCs w:val="22"/>
        </w:rPr>
        <w:footnoteReference w:id="55"/>
      </w:r>
      <w:r w:rsidRPr="00440B9F">
        <w:rPr>
          <w:rFonts w:ascii="Palatino Linotype" w:hAnsi="Palatino Linotype" w:cs="Arial"/>
          <w:sz w:val="22"/>
          <w:szCs w:val="22"/>
        </w:rPr>
        <w:t xml:space="preserve"> </w:t>
      </w:r>
    </w:p>
    <w:p w:rsidR="00D42FBF" w:rsidRPr="00440B9F" w:rsidRDefault="00D42FBF" w:rsidP="001761FF">
      <w:pPr>
        <w:spacing w:line="360" w:lineRule="auto"/>
        <w:jc w:val="both"/>
        <w:rPr>
          <w:rFonts w:ascii="Palatino Linotype" w:hAnsi="Palatino Linotype" w:cs="Arial"/>
          <w:color w:val="000000"/>
          <w:sz w:val="22"/>
          <w:szCs w:val="22"/>
        </w:rPr>
      </w:pPr>
      <w:r w:rsidRPr="00440B9F">
        <w:rPr>
          <w:rFonts w:ascii="Palatino Linotype" w:hAnsi="Palatino Linotype" w:cs="Arial"/>
          <w:sz w:val="22"/>
          <w:szCs w:val="22"/>
        </w:rPr>
        <w:tab/>
        <w:t>One channel through which these women fulfilled their role was through teaching. Educating others was an important medium through which women, like Rahil Ata, Salome Carabet, Hanne Wortabet and Sada Sabunjy, demonstrated their high levels of formal education and language proficiency, and encouraged others to uphold Protestant ideals.</w:t>
      </w:r>
      <w:r w:rsidRPr="00440B9F">
        <w:rPr>
          <w:rFonts w:ascii="Palatino Linotype" w:hAnsi="Palatino Linotype" w:cs="Arial"/>
          <w:sz w:val="22"/>
          <w:szCs w:val="22"/>
          <w:vertAlign w:val="superscript"/>
        </w:rPr>
        <w:footnoteReference w:id="56"/>
      </w:r>
      <w:r w:rsidRPr="00440B9F">
        <w:rPr>
          <w:rFonts w:ascii="Palatino Linotype" w:hAnsi="Palatino Linotype" w:cs="Arial"/>
          <w:sz w:val="22"/>
          <w:szCs w:val="22"/>
        </w:rPr>
        <w:t xml:space="preserve"> Y</w:t>
      </w:r>
      <w:r w:rsidRPr="00440B9F">
        <w:rPr>
          <w:rFonts w:ascii="Palatino Linotype" w:hAnsi="Palatino Linotype" w:cs="Arial"/>
          <w:color w:val="000000"/>
          <w:sz w:val="22"/>
          <w:szCs w:val="22"/>
        </w:rPr>
        <w:t>oung Syrian Protestant women not only taught Syrian children, but were sent to out-stations to instruct new converts on how to behave like Protestants and to prevent them from blacksliding.</w:t>
      </w:r>
      <w:r w:rsidRPr="00440B9F">
        <w:rPr>
          <w:rStyle w:val="FootnoteReference"/>
          <w:rFonts w:ascii="Palatino Linotype" w:hAnsi="Palatino Linotype" w:cs="Arial"/>
          <w:color w:val="000000"/>
          <w:sz w:val="22"/>
          <w:szCs w:val="22"/>
        </w:rPr>
        <w:footnoteReference w:id="57"/>
      </w:r>
      <w:r w:rsidRPr="00440B9F">
        <w:rPr>
          <w:rFonts w:ascii="Palatino Linotype" w:hAnsi="Palatino Linotype" w:cs="Arial"/>
          <w:color w:val="000000"/>
          <w:sz w:val="22"/>
          <w:szCs w:val="22"/>
        </w:rPr>
        <w:t xml:space="preserve"> In 1844, the then single Rahil Ata told the missionaries that she was willing to move to Hasbaya, presumably to teach the new converts at this location.</w:t>
      </w:r>
      <w:r w:rsidRPr="00440B9F">
        <w:rPr>
          <w:rFonts w:ascii="Palatino Linotype" w:hAnsi="Palatino Linotype" w:cs="Arial"/>
          <w:color w:val="000000"/>
          <w:sz w:val="22"/>
          <w:szCs w:val="22"/>
          <w:vertAlign w:val="superscript"/>
        </w:rPr>
        <w:footnoteReference w:id="58"/>
      </w:r>
      <w:r w:rsidRPr="00440B9F">
        <w:rPr>
          <w:rFonts w:ascii="Palatino Linotype" w:hAnsi="Palatino Linotype" w:cs="Arial"/>
          <w:color w:val="000000"/>
          <w:sz w:val="22"/>
          <w:szCs w:val="22"/>
        </w:rPr>
        <w:t xml:space="preserve"> A few years later, Hanne Wortabet, her brother John and his wife Salome continued Rahil’s work in Hasbaya. While John functioned as a ‘native minister’, Hannie and Salome organised schools and religious meetings for Syrian Protestant women and children.</w:t>
      </w:r>
      <w:r w:rsidRPr="00440B9F">
        <w:rPr>
          <w:rFonts w:ascii="Palatino Linotype" w:hAnsi="Palatino Linotype" w:cs="Arial"/>
          <w:color w:val="000000"/>
          <w:sz w:val="22"/>
          <w:szCs w:val="22"/>
          <w:vertAlign w:val="superscript"/>
        </w:rPr>
        <w:footnoteReference w:id="59"/>
      </w:r>
    </w:p>
    <w:p w:rsidR="00D42FBF" w:rsidRPr="00440B9F" w:rsidRDefault="00D42FBF" w:rsidP="001761FF">
      <w:pPr>
        <w:spacing w:line="360" w:lineRule="auto"/>
        <w:jc w:val="both"/>
        <w:rPr>
          <w:rFonts w:ascii="Palatino Linotype" w:hAnsi="Palatino Linotype" w:cs="Arial"/>
          <w:color w:val="000000"/>
          <w:sz w:val="22"/>
          <w:szCs w:val="22"/>
        </w:rPr>
      </w:pPr>
      <w:r w:rsidRPr="00440B9F">
        <w:rPr>
          <w:rFonts w:ascii="Palatino Linotype" w:hAnsi="Palatino Linotype" w:cs="Arial"/>
          <w:color w:val="000000"/>
          <w:sz w:val="22"/>
          <w:szCs w:val="22"/>
        </w:rPr>
        <w:tab/>
        <w:t>A second channel through which young women served as models for others was as the wives of Syrian Protestant men.</w:t>
      </w:r>
      <w:r w:rsidRPr="00440B9F">
        <w:rPr>
          <w:rStyle w:val="FootnoteReference"/>
          <w:rFonts w:ascii="Palatino Linotype" w:hAnsi="Palatino Linotype" w:cs="Arial"/>
          <w:color w:val="000000"/>
          <w:sz w:val="22"/>
          <w:szCs w:val="22"/>
        </w:rPr>
        <w:footnoteReference w:id="60"/>
      </w:r>
      <w:r w:rsidRPr="00440B9F">
        <w:rPr>
          <w:rFonts w:ascii="Palatino Linotype" w:hAnsi="Palatino Linotype" w:cs="Arial"/>
          <w:color w:val="000000"/>
          <w:sz w:val="22"/>
          <w:szCs w:val="22"/>
        </w:rPr>
        <w:t xml:space="preserve"> The number of men who joined the Protestant Circle exceeded the number of women throughout the period under review. In 1848, Hetty Smith lamented that one Syrian Protestant man married an uneducated, non-Protestant woman, who Hetty felt compromised the man’s Protestant lifestyle and commitment.</w:t>
      </w:r>
      <w:r w:rsidRPr="00440B9F">
        <w:rPr>
          <w:rStyle w:val="FootnoteReference"/>
          <w:rFonts w:ascii="Palatino Linotype" w:hAnsi="Palatino Linotype" w:cs="Arial"/>
          <w:color w:val="000000"/>
          <w:sz w:val="22"/>
          <w:szCs w:val="22"/>
        </w:rPr>
        <w:footnoteReference w:id="61"/>
      </w:r>
      <w:r w:rsidRPr="00440B9F">
        <w:rPr>
          <w:rFonts w:ascii="Palatino Linotype" w:hAnsi="Palatino Linotype" w:cs="Arial"/>
          <w:color w:val="000000"/>
          <w:sz w:val="22"/>
          <w:szCs w:val="22"/>
        </w:rPr>
        <w:t xml:space="preserve"> Syrian Protestant women were sought after for marriage by Syrian Protestant men, since it was believed that these women would ensure that their homes would be well-run, healthy environments where Protestant values were upheld and conveyed to children.</w:t>
      </w:r>
      <w:r w:rsidRPr="00440B9F">
        <w:rPr>
          <w:rFonts w:ascii="Palatino Linotype" w:hAnsi="Palatino Linotype" w:cs="Arial"/>
          <w:color w:val="000000"/>
          <w:sz w:val="22"/>
          <w:szCs w:val="22"/>
          <w:vertAlign w:val="superscript"/>
        </w:rPr>
        <w:footnoteReference w:id="62"/>
      </w: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color w:val="000000"/>
          <w:sz w:val="22"/>
          <w:szCs w:val="22"/>
        </w:rPr>
        <w:tab/>
        <w:t>This ‘need’ for Syrian Protestant women to marry Syrian Protestant men reflected the changes in the gendering of the Protestant Circle during the 1840s and 1850s.</w:t>
      </w:r>
      <w:r w:rsidRPr="00440B9F">
        <w:rPr>
          <w:rFonts w:ascii="Palatino Linotype" w:hAnsi="Palatino Linotype" w:cs="Arial"/>
          <w:color w:val="000000"/>
          <w:sz w:val="22"/>
          <w:szCs w:val="22"/>
          <w:vertAlign w:val="superscript"/>
        </w:rPr>
        <w:footnoteReference w:id="63"/>
      </w:r>
      <w:r w:rsidRPr="00440B9F">
        <w:rPr>
          <w:rFonts w:ascii="Palatino Linotype" w:hAnsi="Palatino Linotype" w:cs="Arial"/>
          <w:color w:val="000000"/>
          <w:sz w:val="22"/>
          <w:szCs w:val="22"/>
        </w:rPr>
        <w:t xml:space="preserve"> During these years, many Protestant men argued that the primary focus for women’s activities should be the home, even if it created problems like those articulated by Rufus Anderson for missionary women discussed above. In 1849, Butrus al-Bustani presented a paper to the Syrian Society for Arts and Sciences entitled ‘Khitab fi T</w:t>
      </w:r>
      <w:r w:rsidRPr="00440B9F">
        <w:rPr>
          <w:rFonts w:ascii="Palatino Linotype" w:hAnsi="Palatino Linotype"/>
          <w:sz w:val="22"/>
          <w:szCs w:val="22"/>
        </w:rPr>
        <w:t>‛</w:t>
      </w:r>
      <w:r w:rsidRPr="00440B9F">
        <w:rPr>
          <w:rFonts w:ascii="Palatino Linotype" w:hAnsi="Palatino Linotype" w:cs="Arial"/>
          <w:color w:val="000000"/>
          <w:sz w:val="22"/>
          <w:szCs w:val="22"/>
        </w:rPr>
        <w:t>alim al-Nisa’ (‘Discourse on the Education of Women’).</w:t>
      </w:r>
      <w:r w:rsidRPr="00440B9F">
        <w:rPr>
          <w:rStyle w:val="FootnoteReference"/>
          <w:rFonts w:ascii="Palatino Linotype" w:hAnsi="Palatino Linotype" w:cs="Arial"/>
          <w:color w:val="000000"/>
          <w:sz w:val="22"/>
          <w:szCs w:val="22"/>
        </w:rPr>
        <w:footnoteReference w:id="64"/>
      </w:r>
      <w:r w:rsidRPr="00440B9F">
        <w:rPr>
          <w:rFonts w:ascii="Palatino Linotype" w:hAnsi="Palatino Linotype" w:cs="Arial"/>
          <w:color w:val="000000"/>
          <w:sz w:val="22"/>
          <w:szCs w:val="22"/>
        </w:rPr>
        <w:t xml:space="preserve"> In this paper, al-Bustani called for the increase in educational services for Syrian women, which he justified by asking ‘[how] can she be an intelligent wife, a kind companion, a wise counsellor, a faithful spouse, aiding her husband, lightening his sufferings, training his children, and caring for his home, without education?’</w:t>
      </w:r>
      <w:r w:rsidRPr="00440B9F">
        <w:rPr>
          <w:rStyle w:val="FootnoteReference"/>
          <w:rFonts w:ascii="Palatino Linotype" w:hAnsi="Palatino Linotype" w:cs="Arial"/>
          <w:color w:val="000000"/>
          <w:sz w:val="22"/>
          <w:szCs w:val="22"/>
        </w:rPr>
        <w:footnoteReference w:id="65"/>
      </w:r>
      <w:r w:rsidRPr="00440B9F">
        <w:rPr>
          <w:rFonts w:ascii="Palatino Linotype" w:hAnsi="Palatino Linotype" w:cs="Arial"/>
          <w:color w:val="000000"/>
          <w:sz w:val="22"/>
          <w:szCs w:val="22"/>
        </w:rPr>
        <w:t xml:space="preserve"> For al-Bustani, and many other Protestants, women were to serve as models of Protestantism through guiding the moral development of their children, caring for their husband’s needs and managing a well-run household. As this ideal was being constructed and articulated however, Syrian Protestant women continued to negotiate the different influences on their activities, which, as the rest of this chapter will illuminate, problematised this narrowing of women’s roles. </w:t>
      </w:r>
    </w:p>
    <w:p w:rsidR="00D42FBF" w:rsidRPr="00440B9F" w:rsidRDefault="00D42FBF" w:rsidP="001761FF">
      <w:pPr>
        <w:tabs>
          <w:tab w:val="left" w:pos="5462"/>
        </w:tabs>
        <w:spacing w:line="360" w:lineRule="auto"/>
        <w:jc w:val="both"/>
        <w:rPr>
          <w:rFonts w:ascii="Palatino Linotype" w:hAnsi="Palatino Linotype" w:cs="Arial"/>
          <w:sz w:val="22"/>
          <w:szCs w:val="22"/>
        </w:rPr>
      </w:pPr>
      <w:r>
        <w:rPr>
          <w:rFonts w:ascii="Palatino Linotype" w:hAnsi="Palatino Linotype" w:cs="Arial"/>
        </w:rPr>
        <w:tab/>
      </w:r>
    </w:p>
    <w:p w:rsidR="00D42FBF" w:rsidRPr="00440B9F" w:rsidRDefault="00D42FBF" w:rsidP="001761FF">
      <w:pPr>
        <w:spacing w:line="360" w:lineRule="auto"/>
        <w:jc w:val="both"/>
        <w:rPr>
          <w:rFonts w:ascii="Palatino Linotype" w:hAnsi="Palatino Linotype" w:cs="Arial"/>
          <w:sz w:val="22"/>
          <w:szCs w:val="22"/>
        </w:rPr>
      </w:pPr>
    </w:p>
    <w:p w:rsidR="00D42FBF" w:rsidRPr="00440B9F" w:rsidRDefault="00D42FBF" w:rsidP="001761FF">
      <w:pPr>
        <w:spacing w:line="360" w:lineRule="auto"/>
        <w:jc w:val="center"/>
        <w:rPr>
          <w:rFonts w:ascii="Arial" w:hAnsi="Arial" w:cs="Arial"/>
          <w:smallCaps/>
          <w:sz w:val="22"/>
          <w:szCs w:val="22"/>
        </w:rPr>
      </w:pPr>
      <w:r w:rsidRPr="00440B9F">
        <w:rPr>
          <w:rFonts w:ascii="Arial" w:hAnsi="Arial" w:cs="Arial"/>
          <w:smallCaps/>
          <w:sz w:val="22"/>
          <w:szCs w:val="22"/>
        </w:rPr>
        <w:t>Protestant Women’s Networks</w:t>
      </w:r>
    </w:p>
    <w:p w:rsidR="00D42FBF" w:rsidRPr="00440B9F" w:rsidRDefault="00D42FBF" w:rsidP="001761FF">
      <w:pPr>
        <w:spacing w:line="360" w:lineRule="auto"/>
        <w:jc w:val="both"/>
        <w:rPr>
          <w:rFonts w:ascii="Palatino Linotype" w:hAnsi="Palatino Linotype" w:cs="Arial"/>
          <w:smallCaps/>
          <w:sz w:val="22"/>
          <w:szCs w:val="22"/>
        </w:rPr>
      </w:pP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sz w:val="22"/>
          <w:szCs w:val="22"/>
        </w:rPr>
        <w:t>Social networks are important channels through which idealised gender roles are transferred to individuals and where the appropriate activities to fulfil these roles are encouraged and negotiated. Although the interactions amongst men and women influence the development of gender, this section investigates the networks formed by Protestant women in order to uncover the relationships that emerged amongst women and to emphasise their function in constructing and negotiating their gendered identity. Many of these networks were based upon real and discursive ties of kinship, which emphasises the important (but not the sole) influence of the family on Protestant women’s identities.</w:t>
      </w: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sz w:val="22"/>
          <w:szCs w:val="22"/>
        </w:rPr>
        <w:tab/>
        <w:t>As Protestant womanhood was neither singularly defined nor a static concept, this analysis divides women’s networks into two sections: those formed by missionary women and those created by Syrian Protestant women. While some of these relationships overlapped, this separation is maintained to emphasis that race divided women in the Protestant Circle. Other factors are also recognised as influencing women’s social interactions including their position in the Circle, marriage status, the age at which they joined the community and their length of residency in the region. This investigation not only examines how Protestant women interacted with each other, but also how they engaged with the ‘non-Protestant’ women who were positioned along the perimeter or outside of the Protestant Circle.</w:t>
      </w:r>
      <w:r w:rsidRPr="00440B9F">
        <w:rPr>
          <w:rStyle w:val="FootnoteReference"/>
          <w:rFonts w:ascii="Palatino Linotype" w:hAnsi="Palatino Linotype" w:cs="Arial"/>
          <w:sz w:val="22"/>
          <w:szCs w:val="22"/>
        </w:rPr>
        <w:footnoteReference w:id="66"/>
      </w:r>
      <w:r w:rsidRPr="00440B9F">
        <w:rPr>
          <w:rFonts w:ascii="Palatino Linotype" w:hAnsi="Palatino Linotype" w:cs="Arial"/>
          <w:sz w:val="22"/>
          <w:szCs w:val="22"/>
        </w:rPr>
        <w:t xml:space="preserve"> In so doing, this section re-considers, with a gendered lens, the boundaries that defined the Protestant Circle and the divisions that fragmented this community.</w:t>
      </w:r>
    </w:p>
    <w:p w:rsidR="00D42FBF" w:rsidRPr="00440B9F" w:rsidRDefault="00D42FBF" w:rsidP="001761FF">
      <w:pPr>
        <w:spacing w:line="360" w:lineRule="auto"/>
        <w:jc w:val="both"/>
        <w:rPr>
          <w:rFonts w:ascii="Arial" w:hAnsi="Arial" w:cs="Arial"/>
          <w:i/>
          <w:sz w:val="22"/>
          <w:szCs w:val="22"/>
        </w:rPr>
      </w:pPr>
    </w:p>
    <w:p w:rsidR="00D42FBF" w:rsidRPr="00440B9F" w:rsidRDefault="00D42FBF" w:rsidP="001761FF">
      <w:pPr>
        <w:spacing w:line="360" w:lineRule="auto"/>
        <w:jc w:val="center"/>
        <w:rPr>
          <w:rFonts w:ascii="Arial" w:hAnsi="Arial" w:cs="Arial"/>
          <w:i/>
          <w:smallCaps/>
          <w:sz w:val="22"/>
          <w:szCs w:val="22"/>
        </w:rPr>
      </w:pPr>
      <w:r w:rsidRPr="00440B9F">
        <w:rPr>
          <w:rFonts w:ascii="Arial" w:hAnsi="Arial" w:cs="Arial"/>
          <w:i/>
          <w:smallCaps/>
          <w:sz w:val="22"/>
          <w:szCs w:val="22"/>
        </w:rPr>
        <w:t>Missionary Women’s Networks</w:t>
      </w:r>
    </w:p>
    <w:p w:rsidR="00D42FBF" w:rsidRPr="00440B9F" w:rsidRDefault="00D42FBF" w:rsidP="001761FF">
      <w:pPr>
        <w:spacing w:line="360" w:lineRule="auto"/>
        <w:jc w:val="both"/>
        <w:rPr>
          <w:rFonts w:ascii="Palatino Linotype" w:hAnsi="Palatino Linotype" w:cs="Arial"/>
          <w:smallCaps/>
          <w:sz w:val="22"/>
          <w:szCs w:val="22"/>
        </w:rPr>
      </w:pP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sz w:val="22"/>
          <w:szCs w:val="22"/>
        </w:rPr>
        <w:t>Mission work necessitated the construction of new alliances. Separation from home demanded that missionary women construct new support networks, while relationships were forged as part of the evangelical endeavour. These new bonds were often fictive ties of kinship, which were reinforced through marriage and/or shared living arrangements.</w:t>
      </w: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sz w:val="22"/>
          <w:szCs w:val="22"/>
        </w:rPr>
        <w:tab/>
        <w:t>One set of networks created by the ABCFM missionary women were with other American and European residents and missionaries in Beirut. In addition to the ABCFM missionaries, this group included the missionaries’ relatives who visited the region, the wives of the American, British and Prussian Consuls, and the missionaries (or wives of missionaries) from other ‘acceptable’ organisations, such as the CMS.</w:t>
      </w:r>
      <w:r w:rsidRPr="00440B9F">
        <w:rPr>
          <w:rStyle w:val="FootnoteReference"/>
          <w:rFonts w:ascii="Palatino Linotype" w:hAnsi="Palatino Linotype" w:cs="Arial"/>
          <w:sz w:val="22"/>
          <w:szCs w:val="22"/>
        </w:rPr>
        <w:footnoteReference w:id="67"/>
      </w:r>
      <w:r w:rsidRPr="00440B9F">
        <w:rPr>
          <w:rFonts w:ascii="Palatino Linotype" w:hAnsi="Palatino Linotype" w:cs="Arial"/>
          <w:sz w:val="22"/>
          <w:szCs w:val="22"/>
        </w:rPr>
        <w:t xml:space="preserve"> The women in this group regarded each other as equals, so that the bonds they formed were comparable to those between sisters, which was how the missionaries viewed these relationships.</w:t>
      </w:r>
      <w:r w:rsidRPr="00440B9F">
        <w:rPr>
          <w:rFonts w:ascii="Palatino Linotype" w:hAnsi="Palatino Linotype" w:cs="Arial"/>
          <w:sz w:val="22"/>
          <w:szCs w:val="22"/>
          <w:vertAlign w:val="superscript"/>
        </w:rPr>
        <w:footnoteReference w:id="68"/>
      </w:r>
      <w:r w:rsidRPr="00440B9F">
        <w:rPr>
          <w:rFonts w:ascii="Palatino Linotype" w:hAnsi="Palatino Linotype" w:cs="Arial"/>
          <w:sz w:val="22"/>
          <w:szCs w:val="22"/>
        </w:rPr>
        <w:t xml:space="preserve"> For example, ‘sisterly attentions’ were given to a woman during her pregnancy, child birth and in caring for young children.</w:t>
      </w:r>
      <w:r w:rsidRPr="00440B9F">
        <w:rPr>
          <w:rStyle w:val="FootnoteReference"/>
          <w:rFonts w:ascii="Palatino Linotype" w:hAnsi="Palatino Linotype" w:cs="Arial"/>
          <w:sz w:val="22"/>
          <w:szCs w:val="22"/>
        </w:rPr>
        <w:footnoteReference w:id="69"/>
      </w:r>
      <w:r w:rsidRPr="00440B9F">
        <w:rPr>
          <w:rFonts w:ascii="Palatino Linotype" w:hAnsi="Palatino Linotype" w:cs="Arial"/>
          <w:sz w:val="22"/>
          <w:szCs w:val="22"/>
        </w:rPr>
        <w:t xml:space="preserve"> These women also exchanged emotional support during periods of trial. </w:t>
      </w:r>
      <w:r w:rsidRPr="00440B9F">
        <w:rPr>
          <w:rFonts w:ascii="Palatino Linotype" w:hAnsi="Palatino Linotype" w:cs="Arial"/>
          <w:color w:val="000000"/>
          <w:sz w:val="22"/>
          <w:szCs w:val="22"/>
        </w:rPr>
        <w:t>After the death of her son, Hetty Smith noted that ‘[d]ear Mrs. Whiting and Mrs. Sergeant [the mother of Catherine DeForest] came to me at once and Mrs. [Whiting] took from me my babe to prepare him for his last resting place.’</w:t>
      </w:r>
      <w:r w:rsidRPr="00440B9F">
        <w:rPr>
          <w:rStyle w:val="FootnoteReference"/>
          <w:rFonts w:ascii="Palatino Linotype" w:hAnsi="Palatino Linotype" w:cs="Arial"/>
          <w:color w:val="000000"/>
          <w:sz w:val="22"/>
          <w:szCs w:val="22"/>
        </w:rPr>
        <w:footnoteReference w:id="70"/>
      </w:r>
      <w:r w:rsidRPr="00440B9F">
        <w:rPr>
          <w:rFonts w:ascii="Palatino Linotype" w:hAnsi="Palatino Linotype" w:cs="Arial"/>
          <w:color w:val="000000"/>
          <w:sz w:val="22"/>
          <w:szCs w:val="22"/>
        </w:rPr>
        <w:t xml:space="preserve"> </w:t>
      </w:r>
      <w:r w:rsidRPr="00440B9F">
        <w:rPr>
          <w:rFonts w:ascii="Palatino Linotype" w:hAnsi="Palatino Linotype" w:cs="Arial"/>
          <w:sz w:val="22"/>
          <w:szCs w:val="22"/>
        </w:rPr>
        <w:t>These ‘sisters’ also helped a widow prepare the funeral for her late husband and offered advice on how to navigate her now precarious position within the ABCFM. In 1835, Sarah Smith wrote to Martha Dodge and asked her to remain in Syria after the death of her husband, Asa. Through the tone of this letter, Sarah emphasised Martha’s own importance to the station. Sarah wrote:</w:t>
      </w:r>
    </w:p>
    <w:p w:rsidR="00D42FBF" w:rsidRDefault="00D42FBF" w:rsidP="001761FF">
      <w:pPr>
        <w:ind w:left="720" w:right="720"/>
        <w:jc w:val="both"/>
        <w:rPr>
          <w:rFonts w:ascii="Palatino Linotype" w:hAnsi="Palatino Linotype" w:cs="Arial"/>
          <w:color w:val="000000"/>
        </w:rPr>
      </w:pPr>
      <w:r w:rsidRPr="00440B9F">
        <w:rPr>
          <w:rFonts w:ascii="Palatino Linotype" w:hAnsi="Palatino Linotype" w:cs="Arial"/>
          <w:color w:val="000000"/>
          <w:sz w:val="22"/>
          <w:szCs w:val="22"/>
        </w:rPr>
        <w:t>I have imagined your sainted husband, now more of a missionary at heart than ever before, as speaking thus:-“My dear Martha, you have passed through many trials, it is true, in this foreign land, but perhaps the worst are over; and if you can preserve your health, and devote yourself to the poor females of Syria, whose language you have just acquired, and train up our little daughter to love and labour for them too, I would rather be your ministering spirit here, than in that land which is surfeited with religious privileges [meaning the United States].”</w:t>
      </w:r>
      <w:r w:rsidRPr="00440B9F">
        <w:rPr>
          <w:rStyle w:val="FootnoteReference"/>
          <w:rFonts w:ascii="Palatino Linotype" w:hAnsi="Palatino Linotype" w:cs="Arial"/>
          <w:color w:val="000000"/>
          <w:sz w:val="22"/>
          <w:szCs w:val="22"/>
        </w:rPr>
        <w:footnoteReference w:id="71"/>
      </w:r>
    </w:p>
    <w:p w:rsidR="00D42FBF" w:rsidRPr="00440B9F" w:rsidRDefault="00D42FBF" w:rsidP="001761FF">
      <w:pPr>
        <w:ind w:left="720" w:right="720"/>
        <w:jc w:val="both"/>
        <w:rPr>
          <w:rFonts w:ascii="Palatino Linotype" w:hAnsi="Palatino Linotype" w:cs="Arial"/>
          <w:color w:val="000000"/>
          <w:sz w:val="22"/>
          <w:szCs w:val="22"/>
        </w:rPr>
      </w:pPr>
    </w:p>
    <w:p w:rsidR="00D42FBF" w:rsidRPr="00440B9F" w:rsidRDefault="00D42FBF" w:rsidP="001761FF">
      <w:pPr>
        <w:spacing w:line="360" w:lineRule="auto"/>
        <w:jc w:val="both"/>
        <w:rPr>
          <w:rFonts w:ascii="Palatino Linotype" w:hAnsi="Palatino Linotype" w:cs="Arial"/>
          <w:color w:val="000000"/>
          <w:sz w:val="22"/>
          <w:szCs w:val="22"/>
        </w:rPr>
      </w:pPr>
      <w:r w:rsidRPr="00440B9F">
        <w:rPr>
          <w:rFonts w:ascii="Palatino Linotype" w:hAnsi="Palatino Linotype" w:cs="Arial"/>
          <w:color w:val="000000"/>
          <w:sz w:val="22"/>
          <w:szCs w:val="22"/>
        </w:rPr>
        <w:t xml:space="preserve">With Sarah’s help and assurance, Martha remained in Syria for a number of years and fought the ABCFM to keep her husband’s private medical supplies as her own assets. </w:t>
      </w:r>
    </w:p>
    <w:p w:rsidR="00D42FBF" w:rsidRPr="00440B9F" w:rsidRDefault="00D42FBF" w:rsidP="001761FF">
      <w:pPr>
        <w:spacing w:line="360" w:lineRule="auto"/>
        <w:jc w:val="both"/>
        <w:rPr>
          <w:rFonts w:ascii="Palatino Linotype" w:hAnsi="Palatino Linotype" w:cs="Arial"/>
          <w:color w:val="000000"/>
          <w:sz w:val="22"/>
          <w:szCs w:val="22"/>
        </w:rPr>
      </w:pPr>
      <w:r w:rsidRPr="00440B9F">
        <w:rPr>
          <w:rFonts w:ascii="Palatino Linotype" w:hAnsi="Palatino Linotype" w:cs="Arial"/>
          <w:color w:val="000000"/>
          <w:sz w:val="22"/>
          <w:szCs w:val="22"/>
        </w:rPr>
        <w:tab/>
        <w:t>Sisterly care was also offered when a woman faced challenges to her missionary services. In 1835, Sarah Smith affirmed Matilda Whiting’s missionary calling after Susan Wortabet refused to send her daughter, Hannie, to live and be educated by Matilda. Sarah’s letter was also written to mollify the tensions between Susan and Matilda. Sarah commented that:</w:t>
      </w:r>
    </w:p>
    <w:p w:rsidR="00D42FBF" w:rsidRDefault="00D42FBF" w:rsidP="001761FF">
      <w:pPr>
        <w:ind w:left="720" w:right="720"/>
        <w:jc w:val="both"/>
        <w:rPr>
          <w:rFonts w:ascii="Palatino Linotype" w:hAnsi="Palatino Linotype" w:cs="Arial"/>
          <w:color w:val="000000"/>
        </w:rPr>
      </w:pPr>
      <w:r w:rsidRPr="00440B9F">
        <w:rPr>
          <w:rFonts w:ascii="Palatino Linotype" w:hAnsi="Palatino Linotype" w:cs="Arial"/>
          <w:color w:val="000000"/>
          <w:sz w:val="22"/>
          <w:szCs w:val="22"/>
        </w:rPr>
        <w:t>I have thought of you, dear sister, in your lonely situation and hope and pray that accordingly to your warm desires God will put work into your hands to do speedily. Aside from higher results, I think some appropriate [means] of work would promote your health and cheerfulness.</w:t>
      </w:r>
      <w:r w:rsidRPr="00440B9F">
        <w:rPr>
          <w:rStyle w:val="FootnoteReference"/>
          <w:rFonts w:ascii="Palatino Linotype" w:hAnsi="Palatino Linotype" w:cs="Arial"/>
          <w:color w:val="000000"/>
          <w:sz w:val="22"/>
          <w:szCs w:val="22"/>
        </w:rPr>
        <w:footnoteReference w:id="72"/>
      </w:r>
      <w:r w:rsidRPr="00440B9F">
        <w:rPr>
          <w:rFonts w:ascii="Palatino Linotype" w:hAnsi="Palatino Linotype" w:cs="Arial"/>
          <w:color w:val="000000"/>
          <w:sz w:val="22"/>
          <w:szCs w:val="22"/>
        </w:rPr>
        <w:t xml:space="preserve"> </w:t>
      </w:r>
    </w:p>
    <w:p w:rsidR="00D42FBF" w:rsidRPr="00440B9F" w:rsidRDefault="00D42FBF" w:rsidP="001761FF">
      <w:pPr>
        <w:ind w:left="720" w:right="720"/>
        <w:jc w:val="both"/>
        <w:rPr>
          <w:rFonts w:ascii="Palatino Linotype" w:hAnsi="Palatino Linotype" w:cs="Arial"/>
          <w:color w:val="000000"/>
          <w:sz w:val="22"/>
          <w:szCs w:val="22"/>
        </w:rPr>
      </w:pPr>
    </w:p>
    <w:p w:rsidR="00D42FBF" w:rsidRPr="00440B9F" w:rsidRDefault="00D42FBF" w:rsidP="001761FF">
      <w:pPr>
        <w:spacing w:line="360" w:lineRule="auto"/>
        <w:jc w:val="both"/>
        <w:rPr>
          <w:rFonts w:ascii="Palatino Linotype" w:hAnsi="Palatino Linotype" w:cs="Arial"/>
          <w:color w:val="000000"/>
          <w:sz w:val="22"/>
          <w:szCs w:val="22"/>
        </w:rPr>
      </w:pPr>
      <w:r w:rsidRPr="00440B9F">
        <w:rPr>
          <w:rFonts w:ascii="Palatino Linotype" w:hAnsi="Palatino Linotype" w:cs="Arial"/>
          <w:color w:val="000000"/>
          <w:sz w:val="22"/>
          <w:szCs w:val="22"/>
        </w:rPr>
        <w:t xml:space="preserve">It is important to recognise that while Sarah addressed Matilda as ‘sister’, she did not consider Susan to be an equal. Rather, as in other occasions, Susan was relegated to another, lower position by the missionary women, illuminating the racial divide that excluded Syrian women from this ‘kinship’ of sisters. </w:t>
      </w: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sz w:val="22"/>
          <w:szCs w:val="22"/>
        </w:rPr>
        <w:tab/>
        <w:t>The exchange of material goods reinforced the ‘sisterly’ bonds amongst the American-European women of the Protestant Circle. Until the restructuring of the Syrian Station in 1855, missionary women often resided in the same household or within short walking distance of others in this group.</w:t>
      </w:r>
      <w:r w:rsidRPr="00440B9F">
        <w:rPr>
          <w:rFonts w:ascii="Palatino Linotype" w:hAnsi="Palatino Linotype" w:cs="Arial"/>
          <w:sz w:val="22"/>
          <w:szCs w:val="22"/>
          <w:vertAlign w:val="superscript"/>
        </w:rPr>
        <w:footnoteReference w:id="73"/>
      </w:r>
      <w:r w:rsidRPr="00440B9F">
        <w:rPr>
          <w:rFonts w:ascii="Palatino Linotype" w:hAnsi="Palatino Linotype" w:cs="Arial"/>
          <w:sz w:val="22"/>
          <w:szCs w:val="22"/>
        </w:rPr>
        <w:t xml:space="preserve"> Consequently, items of food were often shared, especially those produced in the United States. If a missionary received a package of ‘American flour’, which was described as less coarse than flour in Syria,</w:t>
      </w:r>
      <w:r w:rsidRPr="00440B9F">
        <w:rPr>
          <w:rStyle w:val="FootnoteReference"/>
          <w:rFonts w:ascii="Palatino Linotype" w:hAnsi="Palatino Linotype" w:cs="Arial"/>
          <w:color w:val="000000"/>
          <w:sz w:val="22"/>
          <w:szCs w:val="22"/>
        </w:rPr>
        <w:footnoteReference w:id="74"/>
      </w:r>
      <w:r w:rsidRPr="00440B9F">
        <w:rPr>
          <w:rFonts w:ascii="Palatino Linotype" w:hAnsi="Palatino Linotype" w:cs="Arial"/>
          <w:color w:val="000000"/>
          <w:sz w:val="22"/>
          <w:szCs w:val="22"/>
        </w:rPr>
        <w:t xml:space="preserve"> she</w:t>
      </w:r>
      <w:r w:rsidRPr="00440B9F">
        <w:rPr>
          <w:rFonts w:ascii="Palatino Linotype" w:hAnsi="Palatino Linotype" w:cs="Arial"/>
          <w:sz w:val="22"/>
          <w:szCs w:val="22"/>
        </w:rPr>
        <w:t xml:space="preserve"> divided the bag and shared it amongst the other women at the Syrian Station.</w:t>
      </w:r>
      <w:r w:rsidRPr="00440B9F">
        <w:rPr>
          <w:rStyle w:val="FootnoteReference"/>
          <w:rFonts w:ascii="Palatino Linotype" w:hAnsi="Palatino Linotype" w:cs="Arial"/>
          <w:color w:val="000000"/>
          <w:sz w:val="22"/>
          <w:szCs w:val="22"/>
        </w:rPr>
        <w:footnoteReference w:id="75"/>
      </w:r>
      <w:r w:rsidRPr="00440B9F">
        <w:rPr>
          <w:rFonts w:ascii="Palatino Linotype" w:hAnsi="Palatino Linotype" w:cs="Arial"/>
          <w:color w:val="000000"/>
          <w:sz w:val="22"/>
          <w:szCs w:val="22"/>
        </w:rPr>
        <w:t xml:space="preserve"> </w:t>
      </w:r>
      <w:r w:rsidRPr="00440B9F">
        <w:rPr>
          <w:rFonts w:ascii="Palatino Linotype" w:hAnsi="Palatino Linotype" w:cs="Arial"/>
          <w:sz w:val="22"/>
          <w:szCs w:val="22"/>
        </w:rPr>
        <w:t>This flour was used sparingly, to bake cakes on special occasions or when the missionary was homesick. These baked goods were fed not only to the woman’s family, but were shared with others residing in the household or partaking in the meal.</w:t>
      </w:r>
      <w:r w:rsidRPr="00440B9F">
        <w:rPr>
          <w:rStyle w:val="FootnoteReference"/>
          <w:rFonts w:ascii="Palatino Linotype" w:hAnsi="Palatino Linotype" w:cs="Arial"/>
          <w:sz w:val="22"/>
          <w:szCs w:val="22"/>
        </w:rPr>
        <w:footnoteReference w:id="76"/>
      </w:r>
      <w:r w:rsidRPr="00440B9F">
        <w:rPr>
          <w:rFonts w:ascii="Palatino Linotype" w:hAnsi="Palatino Linotype" w:cs="Arial"/>
          <w:sz w:val="22"/>
          <w:szCs w:val="22"/>
        </w:rPr>
        <w:t xml:space="preserve"> In a similar manner, Mrs. J. Hosford Smith, the wife of the American consul in Beirut, distributed piglets to the missionary families.</w:t>
      </w:r>
      <w:r w:rsidRPr="00440B9F">
        <w:rPr>
          <w:rStyle w:val="FootnoteReference"/>
          <w:rFonts w:ascii="Palatino Linotype" w:hAnsi="Palatino Linotype" w:cs="Arial"/>
          <w:sz w:val="22"/>
          <w:szCs w:val="22"/>
        </w:rPr>
        <w:footnoteReference w:id="77"/>
      </w:r>
      <w:r w:rsidRPr="00440B9F">
        <w:rPr>
          <w:rFonts w:ascii="Palatino Linotype" w:hAnsi="Palatino Linotype" w:cs="Arial"/>
          <w:sz w:val="22"/>
          <w:szCs w:val="22"/>
        </w:rPr>
        <w:t xml:space="preserve"> Although not employed by the ABCFM, this Smith couple was active in the Protestant Circle and were close neighbours of Hetty and Eli Smith.</w:t>
      </w:r>
      <w:r w:rsidRPr="00440B9F">
        <w:rPr>
          <w:rStyle w:val="FootnoteReference"/>
          <w:rFonts w:ascii="Palatino Linotype" w:hAnsi="Palatino Linotype" w:cs="Arial"/>
          <w:sz w:val="22"/>
          <w:szCs w:val="22"/>
        </w:rPr>
        <w:footnoteReference w:id="78"/>
      </w:r>
      <w:r w:rsidRPr="00440B9F">
        <w:rPr>
          <w:rFonts w:ascii="Palatino Linotype" w:hAnsi="Palatino Linotype" w:cs="Arial"/>
          <w:sz w:val="22"/>
          <w:szCs w:val="22"/>
        </w:rPr>
        <w:t xml:space="preserve"> Reflecting upon her gift, Hetty Smith wrote: ‘[you] will think Mrs. [J. H.] Smith is a good neighbour. She is indeed. She is a most excellent pious woman and a good friend to me’.</w:t>
      </w:r>
      <w:r w:rsidRPr="00440B9F">
        <w:rPr>
          <w:rStyle w:val="FootnoteReference"/>
          <w:rFonts w:ascii="Palatino Linotype" w:hAnsi="Palatino Linotype" w:cs="Arial"/>
          <w:sz w:val="22"/>
          <w:szCs w:val="22"/>
        </w:rPr>
        <w:footnoteReference w:id="79"/>
      </w:r>
      <w:r w:rsidRPr="00440B9F">
        <w:rPr>
          <w:rFonts w:ascii="Palatino Linotype" w:hAnsi="Palatino Linotype" w:cs="Arial"/>
          <w:sz w:val="22"/>
          <w:szCs w:val="22"/>
        </w:rPr>
        <w:t xml:space="preserve"> </w:t>
      </w: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sz w:val="22"/>
          <w:szCs w:val="22"/>
        </w:rPr>
        <w:tab/>
        <w:t>These edible exchanges were important for they emphasised the racial boundary of this network. The items shared amongst ‘sisters’ were based upon American-European cuisine, which was argued to be different from Syrian cuisine. Although ABCFM missionary women occasionally consumed Syrian dishes, there was a repeated emphasis that these were ‘foreign’ foods.</w:t>
      </w:r>
      <w:r w:rsidRPr="00440B9F">
        <w:rPr>
          <w:rStyle w:val="FootnoteReference"/>
          <w:rFonts w:ascii="Palatino Linotype" w:hAnsi="Palatino Linotype" w:cs="Arial"/>
          <w:sz w:val="22"/>
          <w:szCs w:val="22"/>
        </w:rPr>
        <w:footnoteReference w:id="80"/>
      </w:r>
      <w:r w:rsidRPr="00440B9F">
        <w:rPr>
          <w:rFonts w:ascii="Palatino Linotype" w:hAnsi="Palatino Linotype" w:cs="Arial"/>
          <w:sz w:val="22"/>
          <w:szCs w:val="22"/>
        </w:rPr>
        <w:t xml:space="preserve"> The aforementioned exchange of pigs illuminates this boundary, for the consumption of swine was prohibited, or at least discouraged by many Syrians, including Muslims, Jews and some Christians.</w:t>
      </w:r>
      <w:r w:rsidRPr="00440B9F">
        <w:rPr>
          <w:rStyle w:val="FootnoteReference"/>
          <w:rFonts w:ascii="Palatino Linotype" w:hAnsi="Palatino Linotype" w:cs="Arial"/>
          <w:sz w:val="22"/>
          <w:szCs w:val="22"/>
        </w:rPr>
        <w:footnoteReference w:id="81"/>
      </w:r>
      <w:r w:rsidRPr="00440B9F">
        <w:rPr>
          <w:rFonts w:ascii="Palatino Linotype" w:hAnsi="Palatino Linotype" w:cs="Arial"/>
          <w:sz w:val="22"/>
          <w:szCs w:val="22"/>
        </w:rPr>
        <w:t xml:space="preserve"> The ABCFM missionaries and other travellers to the region commented on their difficulty in acquiring pigs during their travels,</w:t>
      </w:r>
      <w:r w:rsidRPr="00440B9F">
        <w:rPr>
          <w:rStyle w:val="FootnoteReference"/>
          <w:rFonts w:ascii="Palatino Linotype" w:hAnsi="Palatino Linotype" w:cs="Arial"/>
          <w:sz w:val="22"/>
          <w:szCs w:val="22"/>
        </w:rPr>
        <w:footnoteReference w:id="82"/>
      </w:r>
      <w:r w:rsidRPr="00440B9F">
        <w:rPr>
          <w:rFonts w:ascii="Palatino Linotype" w:hAnsi="Palatino Linotype" w:cs="Arial"/>
          <w:sz w:val="22"/>
          <w:szCs w:val="22"/>
        </w:rPr>
        <w:t xml:space="preserve"> so that the exchange and consumption of swine can be regarded as a practice that set Euro-American women apart from their Syrian colleagues and neighbours, while illuminating an emotion that was shared by these women: a craving of pork.</w:t>
      </w: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sz w:val="22"/>
          <w:szCs w:val="22"/>
        </w:rPr>
        <w:tab/>
        <w:t xml:space="preserve">This network amongst ABCFM missionary women and European-American Protestant women was often presented as harmonious within the official records of the Syrian Station and the </w:t>
      </w:r>
      <w:r w:rsidRPr="00440B9F">
        <w:rPr>
          <w:rFonts w:ascii="Palatino Linotype" w:hAnsi="Palatino Linotype" w:cs="Arial"/>
          <w:i/>
          <w:sz w:val="22"/>
          <w:szCs w:val="22"/>
        </w:rPr>
        <w:t>Missionary Herald</w:t>
      </w:r>
      <w:r w:rsidRPr="00440B9F">
        <w:rPr>
          <w:rFonts w:ascii="Palatino Linotype" w:hAnsi="Palatino Linotype" w:cs="Arial"/>
          <w:sz w:val="22"/>
          <w:szCs w:val="22"/>
        </w:rPr>
        <w:t>. However, the private correspondences of missionaries reveal cracks and tensions within this group. One source of tension emerged with the living arrangements within missionary households, which were often shared by different families. Contestations arose over the title (and power) given to the ‘housekeeper’, or the primary matron of the shared households, despite the emphasis placed upon the equality of missionary ‘sisters’. Hetty Smith also voiced frustration in having to provide for the Martin family, who were American travellers to the region and resided in Hetty’s household for a number of weeks. Although she complained about the additional burden on her time and money, Hetty felt obliged to provide suitable space and food for her guests as part of her housekeeping duties.</w:t>
      </w:r>
      <w:r w:rsidRPr="00440B9F">
        <w:rPr>
          <w:rStyle w:val="FootnoteReference"/>
          <w:rFonts w:ascii="Palatino Linotype" w:hAnsi="Palatino Linotype" w:cs="Arial"/>
          <w:sz w:val="22"/>
          <w:szCs w:val="22"/>
        </w:rPr>
        <w:footnoteReference w:id="83"/>
      </w:r>
      <w:r w:rsidRPr="00440B9F">
        <w:rPr>
          <w:rFonts w:ascii="Palatino Linotype" w:hAnsi="Palatino Linotype" w:cs="Arial"/>
          <w:sz w:val="22"/>
          <w:szCs w:val="22"/>
        </w:rPr>
        <w:t xml:space="preserve"> Supervising children’s lessons served as another source of strain amongst women in this group. In 1856, Hetty Smith argued that the reason for her daughter Sarah’s difficulties at school was that Sarah was ‘naughty and partly because Miss Watson [who was running a school for missionary children] does not love children well enough to manage them.’</w:t>
      </w:r>
      <w:r w:rsidRPr="00440B9F">
        <w:rPr>
          <w:rStyle w:val="FootnoteReference"/>
          <w:rFonts w:ascii="Palatino Linotype" w:hAnsi="Palatino Linotype" w:cs="Arial"/>
          <w:sz w:val="22"/>
          <w:szCs w:val="22"/>
        </w:rPr>
        <w:footnoteReference w:id="84"/>
      </w:r>
      <w:r w:rsidRPr="00440B9F">
        <w:rPr>
          <w:rFonts w:ascii="Palatino Linotype" w:hAnsi="Palatino Linotype" w:cs="Arial"/>
          <w:sz w:val="22"/>
          <w:szCs w:val="22"/>
        </w:rPr>
        <w:t xml:space="preserve"> </w:t>
      </w: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sz w:val="22"/>
          <w:szCs w:val="22"/>
        </w:rPr>
        <w:tab/>
        <w:t>Personality differences were other strains on these sisterly bonds. Caroline Jessup appears to have been a difficult woman to associate with. Her marriage to the missionary Henry Harris Jessup and initial sending to Syria was delayed due to a psychological illness, most likely depression.</w:t>
      </w:r>
      <w:r w:rsidRPr="00440B9F">
        <w:rPr>
          <w:rStyle w:val="FootnoteReference"/>
          <w:rFonts w:ascii="Palatino Linotype" w:hAnsi="Palatino Linotype" w:cs="Arial"/>
          <w:sz w:val="22"/>
          <w:szCs w:val="22"/>
        </w:rPr>
        <w:footnoteReference w:id="85"/>
      </w:r>
      <w:r w:rsidRPr="00440B9F">
        <w:rPr>
          <w:rFonts w:ascii="Palatino Linotype" w:hAnsi="Palatino Linotype" w:cs="Arial"/>
          <w:sz w:val="22"/>
          <w:szCs w:val="22"/>
        </w:rPr>
        <w:t xml:space="preserve"> Upon receiving news of this situation, Eli Smith wrote that ‘[in] view of such a disease in his lady, I should think Mr. [Jessup] would give up his engagement to marry her’, and thus serve as a single missionary.</w:t>
      </w:r>
      <w:r w:rsidRPr="00440B9F">
        <w:rPr>
          <w:rStyle w:val="FootnoteReference"/>
          <w:rFonts w:ascii="Palatino Linotype" w:hAnsi="Palatino Linotype" w:cs="Arial"/>
          <w:sz w:val="22"/>
          <w:szCs w:val="22"/>
        </w:rPr>
        <w:footnoteReference w:id="86"/>
      </w:r>
      <w:r w:rsidRPr="00440B9F">
        <w:rPr>
          <w:rFonts w:ascii="Palatino Linotype" w:hAnsi="Palatino Linotype" w:cs="Arial"/>
          <w:sz w:val="22"/>
          <w:szCs w:val="22"/>
        </w:rPr>
        <w:t xml:space="preserve"> Despite these admonitions, Henry and Caroline were wed in 1858. When Caroline joined the Syrian Station however, Eli’s caution became reality, for Caroline’s relationship with the other women at the station was both trying and uncomfortable. In a letter to a friend, Caroline wrote (in a somewhat confusing language) that ‘Mrs. Lyon is not great so much reserved as used to be but I have been a long time trying to make her acquaintance. Do not mention it.’</w:t>
      </w:r>
      <w:r w:rsidRPr="00440B9F">
        <w:rPr>
          <w:rStyle w:val="FootnoteReference"/>
          <w:rFonts w:ascii="Palatino Linotype" w:hAnsi="Palatino Linotype" w:cs="Arial"/>
          <w:sz w:val="22"/>
          <w:szCs w:val="22"/>
        </w:rPr>
        <w:footnoteReference w:id="87"/>
      </w:r>
      <w:r w:rsidRPr="00440B9F">
        <w:rPr>
          <w:rFonts w:ascii="Palatino Linotype" w:hAnsi="Palatino Linotype" w:cs="Arial"/>
          <w:sz w:val="22"/>
          <w:szCs w:val="22"/>
        </w:rPr>
        <w:t xml:space="preserve"> Caroline’s tension with Catherine Lyon was unusual considering that her husband was close friends of both Catherine and J. Lorenzo Lyon. This awkwardness sharply contrasted the sisterly bonds that developed amongst other missionary women and Euro-American residents of the region, which were emphasised in the public accounts of the community.</w:t>
      </w:r>
      <w:r w:rsidRPr="00440B9F">
        <w:rPr>
          <w:rStyle w:val="FootnoteReference"/>
          <w:rFonts w:ascii="Palatino Linotype" w:hAnsi="Palatino Linotype" w:cs="Arial"/>
          <w:sz w:val="22"/>
          <w:szCs w:val="22"/>
        </w:rPr>
        <w:footnoteReference w:id="88"/>
      </w:r>
      <w:r w:rsidRPr="00440B9F">
        <w:rPr>
          <w:rFonts w:ascii="Palatino Linotype" w:hAnsi="Palatino Linotype" w:cs="Arial"/>
          <w:sz w:val="22"/>
          <w:szCs w:val="22"/>
        </w:rPr>
        <w:t xml:space="preserve"> </w:t>
      </w: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sz w:val="22"/>
          <w:szCs w:val="22"/>
        </w:rPr>
        <w:tab/>
        <w:t>The relationships between ABCFM missionary women and Syrian Protestant women reflected a hierarchical relationship, such as mother-daughter or teacher-student, more so than the sisterly bonds discussed above.</w:t>
      </w:r>
      <w:r w:rsidRPr="00440B9F">
        <w:rPr>
          <w:rStyle w:val="FootnoteReference"/>
          <w:rFonts w:ascii="Palatino Linotype" w:hAnsi="Palatino Linotype" w:cs="Arial"/>
          <w:sz w:val="22"/>
          <w:szCs w:val="22"/>
        </w:rPr>
        <w:footnoteReference w:id="89"/>
      </w:r>
      <w:r w:rsidRPr="00440B9F">
        <w:rPr>
          <w:rFonts w:ascii="Palatino Linotype" w:hAnsi="Palatino Linotype" w:cs="Arial"/>
          <w:sz w:val="22"/>
          <w:szCs w:val="22"/>
        </w:rPr>
        <w:t xml:space="preserve"> Regardless of her elevated position amongst Syrian Protestant women, Rahil (Ata) al-Bustani was repeatedly situated in a mother-daughter relationship by the ABCFM missionary women. In their eyes, Rahil was not an equal, for she was ‘almost Frank’.</w:t>
      </w:r>
      <w:r w:rsidRPr="00440B9F">
        <w:rPr>
          <w:rStyle w:val="FootnoteReference"/>
          <w:rFonts w:ascii="Palatino Linotype" w:hAnsi="Palatino Linotype" w:cs="Arial"/>
          <w:sz w:val="22"/>
          <w:szCs w:val="22"/>
        </w:rPr>
        <w:footnoteReference w:id="90"/>
      </w:r>
      <w:r w:rsidRPr="00440B9F">
        <w:rPr>
          <w:rFonts w:ascii="Palatino Linotype" w:hAnsi="Palatino Linotype" w:cs="Arial"/>
          <w:sz w:val="22"/>
          <w:szCs w:val="22"/>
        </w:rPr>
        <w:t xml:space="preserve"> Similarly, Susan Wortabet was never regarded as an equal, for she was an ‘assistant’ teacher who was ‘very young and giddy and unpromising’.</w:t>
      </w:r>
      <w:r w:rsidRPr="00440B9F">
        <w:rPr>
          <w:rStyle w:val="FootnoteReference"/>
          <w:rFonts w:ascii="Palatino Linotype" w:hAnsi="Palatino Linotype" w:cs="Arial"/>
          <w:sz w:val="22"/>
          <w:szCs w:val="22"/>
        </w:rPr>
        <w:footnoteReference w:id="91"/>
      </w:r>
      <w:r w:rsidRPr="00440B9F">
        <w:rPr>
          <w:rFonts w:ascii="Palatino Linotype" w:hAnsi="Palatino Linotype" w:cs="Arial"/>
          <w:sz w:val="22"/>
          <w:szCs w:val="22"/>
        </w:rPr>
        <w:t xml:space="preserve"> Her unequal status was emphasised during Susan’s conflict with Matilda Whiting. The missionaries assumed that Susan would automatically and unreservedly place her daughter Hannie under Matilda’s care and were shocked when Susan refused to do so. Despite Susan’s contestation however, Hannie was relocated to Jerusalem and resided with Matilda Whiting. From this point, the ABCFM referred to Hannie, not as Susan’s daughter, but as ‘one of Mrs. Whiting’s well-trained pupils’.</w:t>
      </w:r>
      <w:r w:rsidRPr="00440B9F">
        <w:rPr>
          <w:rStyle w:val="FootnoteReference"/>
          <w:rFonts w:ascii="Palatino Linotype" w:hAnsi="Palatino Linotype" w:cs="Arial"/>
          <w:sz w:val="22"/>
          <w:szCs w:val="22"/>
        </w:rPr>
        <w:footnoteReference w:id="92"/>
      </w: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sz w:val="22"/>
          <w:szCs w:val="22"/>
        </w:rPr>
        <w:tab/>
        <w:t>Despite this inequality and occasional discord, fondness developed between the ABCFM missionaries and Syrian Protestant women.</w:t>
      </w:r>
      <w:r w:rsidRPr="00440B9F">
        <w:rPr>
          <w:rStyle w:val="FootnoteReference"/>
          <w:rFonts w:ascii="Palatino Linotype" w:hAnsi="Palatino Linotype" w:cs="Arial"/>
          <w:sz w:val="22"/>
          <w:szCs w:val="22"/>
        </w:rPr>
        <w:footnoteReference w:id="93"/>
      </w:r>
      <w:r w:rsidRPr="00440B9F">
        <w:rPr>
          <w:rFonts w:ascii="Palatino Linotype" w:hAnsi="Palatino Linotype" w:cs="Arial"/>
          <w:sz w:val="22"/>
          <w:szCs w:val="22"/>
        </w:rPr>
        <w:t xml:space="preserve"> ‘Salaams’ were exchanged between missionary women and Syrian Protestant women, often through letters sent to members of the Protestant Circle.</w:t>
      </w:r>
      <w:r w:rsidRPr="00440B9F">
        <w:rPr>
          <w:rStyle w:val="FootnoteReference"/>
          <w:rFonts w:ascii="Palatino Linotype" w:hAnsi="Palatino Linotype" w:cs="Arial"/>
          <w:sz w:val="22"/>
          <w:szCs w:val="22"/>
        </w:rPr>
        <w:footnoteReference w:id="94"/>
      </w:r>
      <w:r w:rsidRPr="00440B9F">
        <w:rPr>
          <w:rFonts w:ascii="Palatino Linotype" w:hAnsi="Palatino Linotype" w:cs="Arial"/>
          <w:sz w:val="22"/>
          <w:szCs w:val="22"/>
        </w:rPr>
        <w:t xml:space="preserve"> For example, ‘Um Mansour’</w:t>
      </w:r>
      <w:r w:rsidRPr="00440B9F">
        <w:rPr>
          <w:rStyle w:val="FootnoteReference"/>
          <w:rFonts w:ascii="Palatino Linotype" w:hAnsi="Palatino Linotype" w:cs="Arial"/>
          <w:sz w:val="22"/>
          <w:szCs w:val="22"/>
        </w:rPr>
        <w:footnoteReference w:id="95"/>
      </w:r>
      <w:r w:rsidRPr="00440B9F">
        <w:rPr>
          <w:rFonts w:ascii="Palatino Linotype" w:hAnsi="Palatino Linotype" w:cs="Arial"/>
          <w:sz w:val="22"/>
          <w:szCs w:val="22"/>
        </w:rPr>
        <w:t xml:space="preserve"> asked Sarah al-Bustani, to transcribe a letter to Hetty Smith and thank her for the previous note and daguerreotype of Hetty and her children.</w:t>
      </w:r>
      <w:r w:rsidRPr="00440B9F">
        <w:rPr>
          <w:rStyle w:val="FootnoteReference"/>
          <w:rFonts w:ascii="Palatino Linotype" w:hAnsi="Palatino Linotype" w:cs="Arial"/>
          <w:sz w:val="22"/>
          <w:szCs w:val="22"/>
        </w:rPr>
        <w:footnoteReference w:id="96"/>
      </w:r>
      <w:r w:rsidRPr="00440B9F">
        <w:rPr>
          <w:rFonts w:ascii="Palatino Linotype" w:hAnsi="Palatino Linotype" w:cs="Arial"/>
          <w:sz w:val="22"/>
          <w:szCs w:val="22"/>
        </w:rPr>
        <w:t xml:space="preserve"> Um Mansour’s dictation ended: ‘I wish you would give my salaams to Charles [Hetty’s stepson], and kisses to the younger children. I want to see you and them very much.’ A post-script was added by Sarah, who wrote: ‘[w]e miss you and Charles very much but when we see your pictures we think of you both and wish you were here to see us’.</w:t>
      </w:r>
      <w:r w:rsidRPr="00440B9F">
        <w:rPr>
          <w:rStyle w:val="FootnoteReference"/>
          <w:rFonts w:ascii="Palatino Linotype" w:hAnsi="Palatino Linotype" w:cs="Arial"/>
          <w:sz w:val="22"/>
          <w:szCs w:val="22"/>
        </w:rPr>
        <w:footnoteReference w:id="97"/>
      </w:r>
      <w:r w:rsidRPr="00440B9F">
        <w:rPr>
          <w:rFonts w:ascii="Palatino Linotype" w:hAnsi="Palatino Linotype" w:cs="Arial"/>
          <w:sz w:val="22"/>
          <w:szCs w:val="22"/>
        </w:rPr>
        <w:t xml:space="preserve"> This letter is significant for it shows the tender feelings exchanged between Syrian Protestant women and missionary women, as well as the medium through which this affection was expressed: through the exchange of letters and daguerreotypes. </w:t>
      </w: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sz w:val="22"/>
          <w:szCs w:val="22"/>
        </w:rPr>
        <w:tab/>
        <w:t>The amicable (but unequal) bonds that linked missionary women and Syrian Protestant women often developed through their shared religious experiences. From the early to mid-nineteenth century, Sabbath worship was conducted in spaces that separated men from women by curtains or walls.</w:t>
      </w:r>
      <w:r w:rsidRPr="00440B9F">
        <w:rPr>
          <w:rStyle w:val="FootnoteReference"/>
          <w:rFonts w:ascii="Palatino Linotype" w:hAnsi="Palatino Linotype" w:cs="Arial"/>
          <w:sz w:val="22"/>
          <w:szCs w:val="22"/>
        </w:rPr>
        <w:footnoteReference w:id="98"/>
      </w:r>
      <w:r w:rsidRPr="00440B9F">
        <w:rPr>
          <w:rFonts w:ascii="Palatino Linotype" w:hAnsi="Palatino Linotype" w:cs="Arial"/>
          <w:sz w:val="22"/>
          <w:szCs w:val="22"/>
        </w:rPr>
        <w:t xml:space="preserve"> This gendered division was continued at other religious services, such as the ‘Female Prayer Meetings’, where Protestant women prayed with each other and shared personal concerns.</w:t>
      </w:r>
      <w:r w:rsidRPr="00440B9F">
        <w:rPr>
          <w:rStyle w:val="FootnoteReference"/>
          <w:rFonts w:ascii="Palatino Linotype" w:hAnsi="Palatino Linotype" w:cs="Arial"/>
          <w:sz w:val="22"/>
          <w:szCs w:val="22"/>
        </w:rPr>
        <w:footnoteReference w:id="99"/>
      </w:r>
      <w:r w:rsidRPr="00440B9F">
        <w:rPr>
          <w:rFonts w:ascii="Palatino Linotype" w:hAnsi="Palatino Linotype" w:cs="Arial"/>
          <w:sz w:val="22"/>
          <w:szCs w:val="22"/>
        </w:rPr>
        <w:t xml:space="preserve"> Bible Classes were other occasions that brought together missionary and Syrian Protestant women. In 1853, Loanza Benton organised a Bible Class in Bhamdoun, which was attended by both missionary women and women from the village, some of whom eventually became members of the ECB. In 1857, this class was ‘regarded [by the ABCFM] as the most promising movement among the women which as yet appeared in the history of this mission’.</w:t>
      </w:r>
      <w:r w:rsidRPr="00440B9F">
        <w:rPr>
          <w:rStyle w:val="FootnoteReference"/>
          <w:rFonts w:ascii="Palatino Linotype" w:hAnsi="Palatino Linotype" w:cs="Arial"/>
          <w:sz w:val="22"/>
          <w:szCs w:val="22"/>
        </w:rPr>
        <w:footnoteReference w:id="100"/>
      </w:r>
      <w:r w:rsidRPr="00440B9F">
        <w:rPr>
          <w:rFonts w:ascii="Palatino Linotype" w:hAnsi="Palatino Linotype" w:cs="Arial"/>
          <w:sz w:val="22"/>
          <w:szCs w:val="22"/>
        </w:rPr>
        <w:t xml:space="preserve"> Young Syrian Protestant women also organised Bible Classes to instruct new Protestants on the basic concepts of their new faith.</w:t>
      </w:r>
      <w:r w:rsidRPr="00440B9F">
        <w:rPr>
          <w:rFonts w:ascii="Palatino Linotype" w:hAnsi="Palatino Linotype" w:cs="Arial"/>
          <w:sz w:val="22"/>
          <w:szCs w:val="22"/>
          <w:vertAlign w:val="superscript"/>
        </w:rPr>
        <w:footnoteReference w:id="101"/>
      </w:r>
      <w:r w:rsidRPr="00440B9F">
        <w:rPr>
          <w:rFonts w:ascii="Palatino Linotype" w:hAnsi="Palatino Linotype" w:cs="Arial"/>
          <w:sz w:val="22"/>
          <w:szCs w:val="22"/>
        </w:rPr>
        <w:t xml:space="preserve"> Although Bible Classes were opportunities for women, both missionary and Syrian, to reflect upon their spiritual state,</w:t>
      </w:r>
      <w:r w:rsidRPr="00440B9F">
        <w:rPr>
          <w:rStyle w:val="FootnoteReference"/>
          <w:rFonts w:ascii="Palatino Linotype" w:hAnsi="Palatino Linotype" w:cs="Arial"/>
          <w:sz w:val="22"/>
          <w:szCs w:val="22"/>
        </w:rPr>
        <w:footnoteReference w:id="102"/>
      </w:r>
      <w:r w:rsidRPr="00440B9F">
        <w:rPr>
          <w:rFonts w:ascii="Palatino Linotype" w:hAnsi="Palatino Linotype" w:cs="Arial"/>
          <w:sz w:val="22"/>
          <w:szCs w:val="22"/>
        </w:rPr>
        <w:t xml:space="preserve"> a noticeable hierarchy of power and religious capital underlined the structure of these meetings, for the teacher (either missionary or young Syrian) instructed and guided the religious development of the new converts.</w:t>
      </w:r>
      <w:r w:rsidRPr="00440B9F">
        <w:rPr>
          <w:rStyle w:val="FootnoteReference"/>
          <w:rFonts w:ascii="Palatino Linotype" w:hAnsi="Palatino Linotype" w:cs="Arial"/>
          <w:sz w:val="22"/>
          <w:szCs w:val="22"/>
        </w:rPr>
        <w:footnoteReference w:id="103"/>
      </w:r>
      <w:r w:rsidRPr="00440B9F">
        <w:rPr>
          <w:rFonts w:ascii="Palatino Linotype" w:hAnsi="Palatino Linotype" w:cs="Arial"/>
          <w:sz w:val="22"/>
          <w:szCs w:val="22"/>
        </w:rPr>
        <w:t xml:space="preserve"> Nevertheless, feelings of empathy and tenderness emerged amongst Protestant women through these religious experiences. </w:t>
      </w: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sz w:val="22"/>
          <w:szCs w:val="22"/>
        </w:rPr>
        <w:tab/>
        <w:t xml:space="preserve"> Missionary women also forged associations with the ‘Frank’ residents of Syria, who they referred to as ‘nominal’ Protestants,</w:t>
      </w:r>
      <w:r w:rsidRPr="00440B9F">
        <w:rPr>
          <w:rFonts w:ascii="Palatino Linotype" w:hAnsi="Palatino Linotype" w:cs="Arial"/>
          <w:sz w:val="22"/>
          <w:szCs w:val="22"/>
          <w:vertAlign w:val="superscript"/>
        </w:rPr>
        <w:footnoteReference w:id="104"/>
      </w:r>
      <w:r w:rsidRPr="00440B9F">
        <w:rPr>
          <w:rFonts w:ascii="Palatino Linotype" w:hAnsi="Palatino Linotype" w:cs="Arial"/>
          <w:sz w:val="22"/>
          <w:szCs w:val="22"/>
        </w:rPr>
        <w:t xml:space="preserve"> for although many proclaimed to be Protestant, they advocated a culture and faith that differed from that defined by the ABCFM missionaries.</w:t>
      </w:r>
      <w:r w:rsidRPr="00440B9F">
        <w:rPr>
          <w:rStyle w:val="FootnoteReference"/>
          <w:rFonts w:ascii="Palatino Linotype" w:hAnsi="Palatino Linotype" w:cs="Arial"/>
          <w:sz w:val="22"/>
          <w:szCs w:val="22"/>
        </w:rPr>
        <w:footnoteReference w:id="105"/>
      </w:r>
      <w:r w:rsidRPr="00440B9F">
        <w:rPr>
          <w:rFonts w:ascii="Palatino Linotype" w:hAnsi="Palatino Linotype" w:cs="Arial"/>
          <w:sz w:val="22"/>
          <w:szCs w:val="22"/>
        </w:rPr>
        <w:t xml:space="preserve"> Women in this group included Clairece Chasseaud and her sister-in-law Eugenie, who were the wives of the British and American consuls respectively, during the 1830s and 1840s. Also befriended were the British residents of Mount Lebanon, such as the wife of Charles Churchill, her daughter Julia, and Isabella Carnacheau Scott. Associations between the ABCFM missionaries and Frank women were formed through visitations, which often occurred at meal-times;</w:t>
      </w:r>
      <w:r w:rsidRPr="00440B9F">
        <w:rPr>
          <w:rStyle w:val="FootnoteReference"/>
          <w:rFonts w:ascii="Palatino Linotype" w:hAnsi="Palatino Linotype" w:cs="Arial"/>
          <w:sz w:val="22"/>
          <w:szCs w:val="22"/>
        </w:rPr>
        <w:footnoteReference w:id="106"/>
      </w:r>
      <w:r w:rsidRPr="00440B9F">
        <w:rPr>
          <w:rFonts w:ascii="Palatino Linotype" w:hAnsi="Palatino Linotype" w:cs="Arial"/>
          <w:sz w:val="22"/>
          <w:szCs w:val="22"/>
        </w:rPr>
        <w:t xml:space="preserve"> during the celebration of special events, such as baptisms,</w:t>
      </w:r>
      <w:r w:rsidRPr="00440B9F">
        <w:rPr>
          <w:rStyle w:val="FootnoteReference"/>
          <w:rFonts w:ascii="Palatino Linotype" w:hAnsi="Palatino Linotype" w:cs="Arial"/>
          <w:sz w:val="22"/>
          <w:szCs w:val="22"/>
        </w:rPr>
        <w:footnoteReference w:id="107"/>
      </w:r>
      <w:r w:rsidRPr="00440B9F">
        <w:rPr>
          <w:rFonts w:ascii="Palatino Linotype" w:hAnsi="Palatino Linotype" w:cs="Arial"/>
          <w:sz w:val="22"/>
          <w:szCs w:val="22"/>
        </w:rPr>
        <w:t xml:space="preserve"> marriages,</w:t>
      </w:r>
      <w:r w:rsidRPr="00440B9F">
        <w:rPr>
          <w:rStyle w:val="FootnoteReference"/>
          <w:rFonts w:ascii="Palatino Linotype" w:hAnsi="Palatino Linotype" w:cs="Arial"/>
          <w:sz w:val="22"/>
          <w:szCs w:val="22"/>
        </w:rPr>
        <w:footnoteReference w:id="108"/>
      </w:r>
      <w:r w:rsidRPr="00440B9F">
        <w:rPr>
          <w:rFonts w:ascii="Palatino Linotype" w:hAnsi="Palatino Linotype" w:cs="Arial"/>
          <w:sz w:val="22"/>
          <w:szCs w:val="22"/>
        </w:rPr>
        <w:t xml:space="preserve"> funerals</w:t>
      </w:r>
      <w:r w:rsidRPr="00440B9F">
        <w:rPr>
          <w:rStyle w:val="FootnoteReference"/>
          <w:rFonts w:ascii="Palatino Linotype" w:hAnsi="Palatino Linotype" w:cs="Arial"/>
          <w:sz w:val="22"/>
          <w:szCs w:val="22"/>
        </w:rPr>
        <w:footnoteReference w:id="109"/>
      </w:r>
      <w:r w:rsidRPr="00440B9F">
        <w:rPr>
          <w:rFonts w:ascii="Palatino Linotype" w:hAnsi="Palatino Linotype" w:cs="Arial"/>
          <w:sz w:val="22"/>
          <w:szCs w:val="22"/>
        </w:rPr>
        <w:t xml:space="preserve"> and school examinations;</w:t>
      </w:r>
      <w:r w:rsidRPr="00440B9F">
        <w:rPr>
          <w:rStyle w:val="FootnoteReference"/>
          <w:rFonts w:ascii="Palatino Linotype" w:hAnsi="Palatino Linotype" w:cs="Arial"/>
          <w:sz w:val="22"/>
          <w:szCs w:val="22"/>
        </w:rPr>
        <w:footnoteReference w:id="110"/>
      </w:r>
      <w:r w:rsidRPr="00440B9F">
        <w:rPr>
          <w:rFonts w:ascii="Palatino Linotype" w:hAnsi="Palatino Linotype" w:cs="Arial"/>
          <w:sz w:val="22"/>
          <w:szCs w:val="22"/>
        </w:rPr>
        <w:t xml:space="preserve"> and at the balls hosted by the Franks living in Beirut.</w:t>
      </w:r>
      <w:r w:rsidRPr="00440B9F">
        <w:rPr>
          <w:rStyle w:val="FootnoteReference"/>
          <w:rFonts w:ascii="Palatino Linotype" w:hAnsi="Palatino Linotype" w:cs="Arial"/>
          <w:sz w:val="22"/>
          <w:szCs w:val="22"/>
        </w:rPr>
        <w:footnoteReference w:id="111"/>
      </w:r>
      <w:r w:rsidRPr="00440B9F">
        <w:rPr>
          <w:rFonts w:ascii="Palatino Linotype" w:hAnsi="Palatino Linotype" w:cs="Arial"/>
          <w:sz w:val="22"/>
          <w:szCs w:val="22"/>
        </w:rPr>
        <w:t xml:space="preserve"> Although Frank women were targeted for evangelical reform,</w:t>
      </w:r>
      <w:r w:rsidRPr="00440B9F">
        <w:rPr>
          <w:rStyle w:val="FootnoteReference"/>
          <w:rFonts w:ascii="Palatino Linotype" w:hAnsi="Palatino Linotype" w:cs="Arial"/>
          <w:sz w:val="22"/>
          <w:szCs w:val="22"/>
        </w:rPr>
        <w:footnoteReference w:id="112"/>
      </w:r>
      <w:r w:rsidRPr="00440B9F">
        <w:rPr>
          <w:rFonts w:ascii="Palatino Linotype" w:hAnsi="Palatino Linotype" w:cs="Arial"/>
          <w:sz w:val="22"/>
          <w:szCs w:val="22"/>
        </w:rPr>
        <w:t xml:space="preserve"> they followed their own views of etiquette and fashion, which caused missionary women, like Hetty Smith, to question their own refinement.</w:t>
      </w:r>
      <w:r w:rsidRPr="00440B9F">
        <w:rPr>
          <w:rFonts w:ascii="Palatino Linotype" w:hAnsi="Palatino Linotype" w:cs="Arial"/>
          <w:sz w:val="22"/>
          <w:szCs w:val="22"/>
          <w:vertAlign w:val="superscript"/>
        </w:rPr>
        <w:footnoteReference w:id="113"/>
      </w:r>
      <w:r w:rsidRPr="00440B9F">
        <w:rPr>
          <w:rFonts w:ascii="Palatino Linotype" w:hAnsi="Palatino Linotype" w:cs="Arial"/>
          <w:sz w:val="22"/>
          <w:szCs w:val="22"/>
        </w:rPr>
        <w:t xml:space="preserve"> Despite her insecurities, Hetty asserted that ‘for the sake of the mission, we are on friendly terms with these people, although we cannot of course devote much time to the cultivation of their acquaintance’.</w:t>
      </w:r>
      <w:r w:rsidRPr="00440B9F">
        <w:rPr>
          <w:rStyle w:val="FootnoteReference"/>
          <w:rFonts w:ascii="Palatino Linotype" w:hAnsi="Palatino Linotype" w:cs="Arial"/>
          <w:sz w:val="22"/>
          <w:szCs w:val="22"/>
        </w:rPr>
        <w:footnoteReference w:id="114"/>
      </w:r>
      <w:r w:rsidRPr="00440B9F">
        <w:rPr>
          <w:rFonts w:ascii="Palatino Linotype" w:hAnsi="Palatino Linotype" w:cs="Arial"/>
          <w:sz w:val="22"/>
          <w:szCs w:val="22"/>
        </w:rPr>
        <w:t xml:space="preserve"> Thus, the ABCFM missionary women forged friendships with Frank women as a means to secure the precarious political and social position of the ABCFM missionaries and Syrian Protestants, which undermined the disinterestedness that they demand from others. </w:t>
      </w: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sz w:val="22"/>
          <w:szCs w:val="22"/>
        </w:rPr>
        <w:tab/>
        <w:t>Missionary women also interacted with ‘non-Protestant’ Syrian women. As this label encompasses most women living in Ottoman Syria, the nature of these relationships varied considerably. Missionary women occasionally accompanied their husbands on visits to the sheiks and emirs who lived on Mount Lebanon and recorded that they were warmly welcomed into the households of these elite women.</w:t>
      </w:r>
      <w:r w:rsidRPr="00440B9F">
        <w:rPr>
          <w:rStyle w:val="FootnoteReference"/>
          <w:rFonts w:ascii="Palatino Linotype" w:hAnsi="Palatino Linotype" w:cs="Arial"/>
          <w:sz w:val="22"/>
          <w:szCs w:val="22"/>
        </w:rPr>
        <w:footnoteReference w:id="115"/>
      </w:r>
      <w:r w:rsidRPr="00440B9F">
        <w:rPr>
          <w:rFonts w:ascii="Palatino Linotype" w:hAnsi="Palatino Linotype" w:cs="Arial"/>
          <w:sz w:val="22"/>
          <w:szCs w:val="22"/>
        </w:rPr>
        <w:t xml:space="preserve"> Missionary women also interacted with numerous women when they celebrated the weddings of their Syrian neighbours.</w:t>
      </w:r>
      <w:r w:rsidRPr="00440B9F">
        <w:rPr>
          <w:rStyle w:val="FootnoteReference"/>
          <w:rFonts w:ascii="Palatino Linotype" w:hAnsi="Palatino Linotype" w:cs="Arial"/>
          <w:sz w:val="22"/>
          <w:szCs w:val="22"/>
        </w:rPr>
        <w:footnoteReference w:id="116"/>
      </w:r>
      <w:r w:rsidRPr="00440B9F">
        <w:rPr>
          <w:rFonts w:ascii="Palatino Linotype" w:hAnsi="Palatino Linotype" w:cs="Arial"/>
          <w:sz w:val="22"/>
          <w:szCs w:val="22"/>
        </w:rPr>
        <w:t xml:space="preserve"> Dispensing medical advice and treatment was another channel through which ABCFM missionary women engaged with non-Protestant Syrian women. Some missionary women and non-Protestant women also exchanged informal visitations. During the mid-1830s, Sarah Smith regularly visited Druze women and the mothers of the students as part of her missionary work.</w:t>
      </w:r>
      <w:r w:rsidRPr="00440B9F">
        <w:rPr>
          <w:rStyle w:val="FootnoteReference"/>
          <w:rFonts w:ascii="Palatino Linotype" w:hAnsi="Palatino Linotype" w:cs="Arial"/>
          <w:sz w:val="22"/>
          <w:szCs w:val="22"/>
        </w:rPr>
        <w:footnoteReference w:id="117"/>
      </w:r>
      <w:r w:rsidRPr="00440B9F">
        <w:rPr>
          <w:rFonts w:ascii="Palatino Linotype" w:hAnsi="Palatino Linotype" w:cs="Arial"/>
          <w:sz w:val="22"/>
          <w:szCs w:val="22"/>
        </w:rPr>
        <w:t xml:space="preserve"> By the late 1840s and 1850s, however, some missionary women, like Hetty Smith, limited their interactions with non-Protestant Syrian women, due to their belief that the behaviour of these Syrian women was injurious to their daughters’ manners and development of Protestant womanhood.</w:t>
      </w:r>
      <w:r w:rsidRPr="00440B9F">
        <w:rPr>
          <w:rStyle w:val="FootnoteReference"/>
          <w:rFonts w:ascii="Palatino Linotype" w:hAnsi="Palatino Linotype" w:cs="Arial"/>
          <w:sz w:val="22"/>
          <w:szCs w:val="22"/>
        </w:rPr>
        <w:footnoteReference w:id="118"/>
      </w:r>
      <w:r w:rsidRPr="00440B9F">
        <w:rPr>
          <w:rFonts w:ascii="Palatino Linotype" w:hAnsi="Palatino Linotype" w:cs="Arial"/>
          <w:sz w:val="22"/>
          <w:szCs w:val="22"/>
        </w:rPr>
        <w:t xml:space="preserve"> </w:t>
      </w: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sz w:val="22"/>
          <w:szCs w:val="22"/>
        </w:rPr>
        <w:tab/>
        <w:t xml:space="preserve">The above networks differed from the ABCFM missionary women’s relationships with their contemporary Roman Catholic missionaries and Syrian </w:t>
      </w:r>
      <w:r w:rsidRPr="00440B9F">
        <w:rPr>
          <w:rFonts w:ascii="Palatino Linotype" w:hAnsi="Palatino Linotype" w:cs="Arial"/>
          <w:i/>
          <w:sz w:val="22"/>
          <w:szCs w:val="22"/>
        </w:rPr>
        <w:t>‛abidat</w:t>
      </w:r>
      <w:r w:rsidRPr="00440B9F">
        <w:rPr>
          <w:rFonts w:ascii="Palatino Linotype" w:hAnsi="Palatino Linotype" w:cs="Arial"/>
          <w:sz w:val="22"/>
          <w:szCs w:val="22"/>
        </w:rPr>
        <w:t>s. While the services provided by these women were in many ways similar to those performed by the Protestant Circle, the ABCFM deemed the work of Latin missionaries to be antithetical to their own.</w:t>
      </w:r>
      <w:r w:rsidRPr="00440B9F">
        <w:rPr>
          <w:rStyle w:val="FootnoteReference"/>
          <w:rFonts w:ascii="Palatino Linotype" w:hAnsi="Palatino Linotype" w:cs="Arial"/>
          <w:sz w:val="22"/>
          <w:szCs w:val="22"/>
        </w:rPr>
        <w:footnoteReference w:id="119"/>
      </w:r>
      <w:r w:rsidRPr="00440B9F">
        <w:rPr>
          <w:rFonts w:ascii="Palatino Linotype" w:hAnsi="Palatino Linotype" w:cs="Arial"/>
          <w:sz w:val="22"/>
          <w:szCs w:val="22"/>
        </w:rPr>
        <w:t xml:space="preserve"> Interestingly, no mention of direct interaction between female Roman Catholic or Maronite nuns with ABCFM missionary women was found in the ABCFM sources despite the increasing number of these women in Beirut and on Mount Lebanon. The only encounters recorded by the ABCFM before 1860 were between men.</w:t>
      </w:r>
      <w:r w:rsidRPr="00440B9F">
        <w:rPr>
          <w:rStyle w:val="FootnoteReference"/>
          <w:rFonts w:ascii="Palatino Linotype" w:hAnsi="Palatino Linotype" w:cs="Arial"/>
          <w:sz w:val="22"/>
          <w:szCs w:val="22"/>
        </w:rPr>
        <w:footnoteReference w:id="120"/>
      </w:r>
      <w:r w:rsidRPr="00440B9F">
        <w:rPr>
          <w:rFonts w:ascii="Palatino Linotype" w:hAnsi="Palatino Linotype" w:cs="Arial"/>
          <w:sz w:val="22"/>
          <w:szCs w:val="22"/>
        </w:rPr>
        <w:t xml:space="preserve"> Thus, it is unclear if any channel of association linked these women, who competed for the salvation of Syrians. This silence is a sharp contrast to the ABCFM missionary women’s interactions with other Protestant missionaries, such Elizabeth Watson, Mrs. Nicolayson and the Prussian Deaconesses, which suggests that the networks created by ABCFM missionary women, at least those recorded by the ABCFM, affirmed and supported their specific definitions of womanhood.</w:t>
      </w:r>
      <w:r w:rsidRPr="00440B9F">
        <w:rPr>
          <w:rStyle w:val="FootnoteReference"/>
          <w:rFonts w:ascii="Palatino Linotype" w:hAnsi="Palatino Linotype" w:cs="Arial"/>
          <w:sz w:val="22"/>
          <w:szCs w:val="22"/>
        </w:rPr>
        <w:footnoteReference w:id="121"/>
      </w:r>
    </w:p>
    <w:p w:rsidR="00D42FBF" w:rsidRPr="00440B9F" w:rsidRDefault="00D42FBF" w:rsidP="001761FF">
      <w:pPr>
        <w:spacing w:line="360" w:lineRule="auto"/>
        <w:jc w:val="both"/>
        <w:rPr>
          <w:rFonts w:ascii="Palatino Linotype" w:hAnsi="Palatino Linotype" w:cs="Arial"/>
          <w:sz w:val="22"/>
          <w:szCs w:val="22"/>
        </w:rPr>
      </w:pPr>
    </w:p>
    <w:p w:rsidR="00D42FBF" w:rsidRDefault="00D42FBF" w:rsidP="001761FF">
      <w:pPr>
        <w:spacing w:line="360" w:lineRule="auto"/>
        <w:jc w:val="center"/>
        <w:rPr>
          <w:rFonts w:ascii="Arial" w:hAnsi="Arial" w:cs="Arial"/>
          <w:i/>
          <w:smallCaps/>
        </w:rPr>
      </w:pPr>
    </w:p>
    <w:p w:rsidR="00D42FBF" w:rsidRPr="00440B9F" w:rsidRDefault="00D42FBF" w:rsidP="001761FF">
      <w:pPr>
        <w:spacing w:line="360" w:lineRule="auto"/>
        <w:jc w:val="center"/>
        <w:rPr>
          <w:rFonts w:ascii="Arial" w:hAnsi="Arial" w:cs="Arial"/>
          <w:i/>
          <w:smallCaps/>
          <w:sz w:val="22"/>
          <w:szCs w:val="22"/>
        </w:rPr>
      </w:pPr>
      <w:r w:rsidRPr="00440B9F">
        <w:rPr>
          <w:rFonts w:ascii="Arial" w:hAnsi="Arial" w:cs="Arial"/>
          <w:i/>
          <w:smallCaps/>
          <w:sz w:val="22"/>
          <w:szCs w:val="22"/>
        </w:rPr>
        <w:t>Syrian Protestant Women’s Networks</w:t>
      </w:r>
    </w:p>
    <w:p w:rsidR="00D42FBF" w:rsidRPr="00440B9F" w:rsidRDefault="00D42FBF" w:rsidP="001761FF">
      <w:pPr>
        <w:spacing w:line="360" w:lineRule="auto"/>
        <w:jc w:val="both"/>
        <w:rPr>
          <w:rFonts w:ascii="Palatino Linotype" w:hAnsi="Palatino Linotype" w:cs="Arial"/>
          <w:smallCaps/>
          <w:sz w:val="22"/>
          <w:szCs w:val="22"/>
        </w:rPr>
      </w:pP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sz w:val="22"/>
          <w:szCs w:val="22"/>
        </w:rPr>
        <w:t xml:space="preserve"> Many of the networks constructed by Syrian Protestant women overlapped those forged by the ABCFM missionary women. Female prayer meetings, Sabbath services and educational activities were occasions when Syrian Protestant women interacted with missionary women and other Syrian women. Unlike the ABCFM missionary women however, whose reflections on these interactions can be found in their journals and letters, Syrian Protestant women’s views of their relationships with others are more difficult to uncover. For example, although the missionaries asserted that Syrian Protestant women ‘loved’ them, it unclear if these were genuine expressions of affection, the intentional negotiation of alliances, or the product of unequal power and dependency.</w:t>
      </w:r>
      <w:r w:rsidRPr="00440B9F">
        <w:rPr>
          <w:rStyle w:val="FootnoteReference"/>
          <w:rFonts w:ascii="Palatino Linotype" w:hAnsi="Palatino Linotype" w:cs="Arial"/>
          <w:sz w:val="22"/>
          <w:szCs w:val="22"/>
        </w:rPr>
        <w:footnoteReference w:id="122"/>
      </w:r>
      <w:r w:rsidRPr="00440B9F">
        <w:rPr>
          <w:rFonts w:ascii="Palatino Linotype" w:hAnsi="Palatino Linotype" w:cs="Arial"/>
          <w:sz w:val="22"/>
          <w:szCs w:val="22"/>
        </w:rPr>
        <w:t xml:space="preserve"> Moreover, it is difficult to fully accept the rosy picture promoted by the missionaries considering the hints of disharmony that leaked through, such as the conflict between Susan Wortabet and Matilda Whiting discussed above. </w:t>
      </w: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sz w:val="22"/>
          <w:szCs w:val="22"/>
        </w:rPr>
        <w:tab/>
        <w:t>The unequal dynamics within missionary encounters must be taken into consideration when analysing the relationships between Syrian Protestant women and ABCFM missionary women.</w:t>
      </w:r>
      <w:r w:rsidRPr="00440B9F">
        <w:rPr>
          <w:rStyle w:val="FootnoteReference"/>
          <w:rFonts w:ascii="Palatino Linotype" w:hAnsi="Palatino Linotype" w:cs="Arial"/>
          <w:sz w:val="22"/>
          <w:szCs w:val="22"/>
        </w:rPr>
        <w:footnoteReference w:id="123"/>
      </w:r>
      <w:r w:rsidRPr="00440B9F">
        <w:rPr>
          <w:rFonts w:ascii="Palatino Linotype" w:hAnsi="Palatino Linotype" w:cs="Arial"/>
          <w:sz w:val="22"/>
          <w:szCs w:val="22"/>
        </w:rPr>
        <w:t xml:space="preserve"> Many of the young Syrian Protestant women were children when they joined the Protestant Circle. ‘Sitt Abla’, Sada and Rufka Gregory, Sada (Sabunjy) Barakat and Lulu Araman were young orphans when they were ‘taken’ or ‘placed’ in missionary households.</w:t>
      </w:r>
      <w:r w:rsidRPr="00440B9F">
        <w:rPr>
          <w:rStyle w:val="FootnoteReference"/>
          <w:rFonts w:ascii="Palatino Linotype" w:hAnsi="Palatino Linotype" w:cs="Arial"/>
          <w:sz w:val="22"/>
          <w:szCs w:val="22"/>
        </w:rPr>
        <w:footnoteReference w:id="124"/>
      </w:r>
      <w:r w:rsidRPr="00440B9F">
        <w:rPr>
          <w:rFonts w:ascii="Palatino Linotype" w:hAnsi="Palatino Linotype" w:cs="Arial"/>
          <w:sz w:val="22"/>
          <w:szCs w:val="22"/>
        </w:rPr>
        <w:t xml:space="preserve"> Likewise, some of the older Syrian Protestant women converted after their husbands or sons joined the Circle, which suggests patriarchal pressure on their conversions.</w:t>
      </w:r>
      <w:r w:rsidRPr="00440B9F">
        <w:rPr>
          <w:rStyle w:val="FootnoteReference"/>
          <w:rFonts w:ascii="Palatino Linotype" w:hAnsi="Palatino Linotype" w:cs="Arial"/>
          <w:sz w:val="22"/>
          <w:szCs w:val="22"/>
        </w:rPr>
        <w:footnoteReference w:id="125"/>
      </w:r>
      <w:r w:rsidRPr="00440B9F">
        <w:rPr>
          <w:rFonts w:ascii="Palatino Linotype" w:hAnsi="Palatino Linotype" w:cs="Arial"/>
          <w:sz w:val="22"/>
          <w:szCs w:val="22"/>
        </w:rPr>
        <w:t xml:space="preserve"> Other women were servants in missionary households when they first learned about the Protestant faith and joined the community.</w:t>
      </w:r>
      <w:r w:rsidRPr="00440B9F">
        <w:rPr>
          <w:rStyle w:val="FootnoteReference"/>
          <w:rFonts w:ascii="Palatino Linotype" w:hAnsi="Palatino Linotype" w:cs="Arial"/>
          <w:sz w:val="22"/>
          <w:szCs w:val="22"/>
        </w:rPr>
        <w:footnoteReference w:id="126"/>
      </w:r>
      <w:r w:rsidRPr="00440B9F">
        <w:rPr>
          <w:rFonts w:ascii="Palatino Linotype" w:hAnsi="Palatino Linotype" w:cs="Arial"/>
          <w:sz w:val="22"/>
          <w:szCs w:val="22"/>
        </w:rPr>
        <w:t xml:space="preserve"> Despite the ‘vulnerability’ of these women when they initially joined the Circle, their continued engagement with the ABCFM missionaries and pursuit of Protestantism must be perceived as an act of agency, for other women rejected Protestantism and ‘returned’ to their previous social and religious communities.</w:t>
      </w:r>
      <w:r w:rsidRPr="00440B9F">
        <w:rPr>
          <w:rStyle w:val="FootnoteReference"/>
          <w:rFonts w:ascii="Palatino Linotype" w:hAnsi="Palatino Linotype" w:cs="Arial"/>
          <w:sz w:val="22"/>
          <w:szCs w:val="22"/>
        </w:rPr>
        <w:footnoteReference w:id="127"/>
      </w:r>
      <w:r w:rsidRPr="00440B9F">
        <w:rPr>
          <w:rFonts w:ascii="Palatino Linotype" w:hAnsi="Palatino Linotype" w:cs="Arial"/>
          <w:sz w:val="22"/>
          <w:szCs w:val="22"/>
        </w:rPr>
        <w:t xml:space="preserve"> </w:t>
      </w: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sz w:val="22"/>
          <w:szCs w:val="22"/>
        </w:rPr>
        <w:tab/>
        <w:t>The biography of Susan Wortabet reveals the complexities faced by Syrian Protestant women. It appears that Susan’s father, Nichola Laloufty, became affiliated with the ABCFM, when William Goodell moved to Sidon to study ‘Armenian-Turkish’.</w:t>
      </w:r>
      <w:r w:rsidRPr="00440B9F">
        <w:rPr>
          <w:rStyle w:val="FootnoteReference"/>
          <w:rFonts w:ascii="Palatino Linotype" w:hAnsi="Palatino Linotype" w:cs="Arial"/>
          <w:sz w:val="22"/>
          <w:szCs w:val="22"/>
        </w:rPr>
        <w:footnoteReference w:id="128"/>
      </w:r>
      <w:r w:rsidRPr="00440B9F">
        <w:rPr>
          <w:rFonts w:ascii="Palatino Linotype" w:hAnsi="Palatino Linotype" w:cs="Arial"/>
          <w:sz w:val="22"/>
          <w:szCs w:val="22"/>
        </w:rPr>
        <w:t xml:space="preserve"> In 1825, the still young</w:t>
      </w:r>
      <w:r w:rsidRPr="00440B9F">
        <w:rPr>
          <w:rStyle w:val="FootnoteReference"/>
          <w:rFonts w:ascii="Palatino Linotype" w:hAnsi="Palatino Linotype" w:cs="Arial"/>
          <w:sz w:val="22"/>
          <w:szCs w:val="22"/>
        </w:rPr>
        <w:footnoteReference w:id="129"/>
      </w:r>
      <w:r w:rsidRPr="00440B9F">
        <w:rPr>
          <w:rFonts w:ascii="Palatino Linotype" w:hAnsi="Palatino Linotype" w:cs="Arial"/>
          <w:sz w:val="22"/>
          <w:szCs w:val="22"/>
        </w:rPr>
        <w:t xml:space="preserve"> Susan married Gregory Wortabet, an Armenian monk who had converted to Protestantism.</w:t>
      </w:r>
      <w:r w:rsidRPr="00440B9F">
        <w:rPr>
          <w:rStyle w:val="FootnoteReference"/>
          <w:rFonts w:ascii="Palatino Linotype" w:hAnsi="Palatino Linotype" w:cs="Arial"/>
          <w:sz w:val="22"/>
          <w:szCs w:val="22"/>
        </w:rPr>
        <w:footnoteReference w:id="130"/>
      </w:r>
      <w:r w:rsidRPr="00440B9F">
        <w:rPr>
          <w:rFonts w:ascii="Palatino Linotype" w:hAnsi="Palatino Linotype" w:cs="Arial"/>
          <w:sz w:val="22"/>
          <w:szCs w:val="22"/>
        </w:rPr>
        <w:t xml:space="preserve"> Despite her connections with the missionaries, Susan did not become a Protestant until 1828.</w:t>
      </w:r>
      <w:r w:rsidRPr="00440B9F">
        <w:rPr>
          <w:rStyle w:val="FootnoteReference"/>
          <w:rFonts w:ascii="Palatino Linotype" w:hAnsi="Palatino Linotype" w:cs="Arial"/>
          <w:sz w:val="22"/>
          <w:szCs w:val="22"/>
        </w:rPr>
        <w:footnoteReference w:id="131"/>
      </w:r>
      <w:r w:rsidRPr="00440B9F">
        <w:rPr>
          <w:rFonts w:ascii="Palatino Linotype" w:hAnsi="Palatino Linotype" w:cs="Arial"/>
          <w:sz w:val="22"/>
          <w:szCs w:val="22"/>
        </w:rPr>
        <w:t xml:space="preserve"> For unknown reasons, the Wortabets distanced themselves from the ABCFM missionaries and returned to Sidon in 1829 or 1830 to pursue independent work.</w:t>
      </w:r>
      <w:r w:rsidRPr="00440B9F">
        <w:rPr>
          <w:rStyle w:val="FootnoteReference"/>
          <w:rFonts w:ascii="Palatino Linotype" w:hAnsi="Palatino Linotype" w:cs="Arial"/>
          <w:sz w:val="22"/>
          <w:szCs w:val="22"/>
        </w:rPr>
        <w:footnoteReference w:id="132"/>
      </w:r>
      <w:r w:rsidRPr="00440B9F">
        <w:rPr>
          <w:rFonts w:ascii="Palatino Linotype" w:hAnsi="Palatino Linotype" w:cs="Arial"/>
          <w:sz w:val="22"/>
          <w:szCs w:val="22"/>
        </w:rPr>
        <w:t xml:space="preserve"> After the death of her husband in 1832, the ABCFM missionaries commented that Susan was ‘left entirely without any temporal resources whatsoever. Her relatives have long considered and treated her as a perfect alien, because she had left their communion’.</w:t>
      </w:r>
      <w:r w:rsidRPr="00440B9F">
        <w:rPr>
          <w:rStyle w:val="FootnoteReference"/>
          <w:rFonts w:ascii="Palatino Linotype" w:hAnsi="Palatino Linotype" w:cs="Arial"/>
          <w:sz w:val="22"/>
          <w:szCs w:val="22"/>
        </w:rPr>
        <w:footnoteReference w:id="133"/>
      </w:r>
      <w:r w:rsidRPr="00440B9F">
        <w:rPr>
          <w:rFonts w:ascii="Palatino Linotype" w:hAnsi="Palatino Linotype" w:cs="Arial"/>
          <w:sz w:val="22"/>
          <w:szCs w:val="22"/>
        </w:rPr>
        <w:t xml:space="preserve"> To resolve this crisis, Susan actively engaged with the Protestant Circle and served as an assistant teacher at their school for girls in Beirut.</w:t>
      </w:r>
      <w:r w:rsidRPr="00440B9F">
        <w:rPr>
          <w:rStyle w:val="FootnoteReference"/>
          <w:rFonts w:ascii="Palatino Linotype" w:hAnsi="Palatino Linotype" w:cs="Arial"/>
          <w:sz w:val="22"/>
          <w:szCs w:val="22"/>
        </w:rPr>
        <w:footnoteReference w:id="134"/>
      </w:r>
      <w:r w:rsidRPr="00440B9F">
        <w:rPr>
          <w:rFonts w:ascii="Palatino Linotype" w:hAnsi="Palatino Linotype" w:cs="Arial"/>
          <w:sz w:val="22"/>
          <w:szCs w:val="22"/>
        </w:rPr>
        <w:t xml:space="preserve"> It was during this period that Susan agreed to have her sons, John and Gregory, educated at the new Protestant Seminary for boys in Beirut,</w:t>
      </w:r>
      <w:r w:rsidRPr="00440B9F">
        <w:rPr>
          <w:rStyle w:val="FootnoteReference"/>
          <w:rFonts w:ascii="Palatino Linotype" w:hAnsi="Palatino Linotype" w:cs="Arial"/>
          <w:sz w:val="22"/>
          <w:szCs w:val="22"/>
        </w:rPr>
        <w:footnoteReference w:id="135"/>
      </w:r>
      <w:r w:rsidRPr="00440B9F">
        <w:rPr>
          <w:rFonts w:ascii="Palatino Linotype" w:hAnsi="Palatino Linotype" w:cs="Arial"/>
          <w:sz w:val="22"/>
          <w:szCs w:val="22"/>
        </w:rPr>
        <w:t xml:space="preserve"> but fought against sending her daughter, Hannie, to be educated by Matilda Whiting in Jerusalem.</w:t>
      </w:r>
      <w:r w:rsidRPr="00440B9F">
        <w:rPr>
          <w:rStyle w:val="FootnoteReference"/>
          <w:rFonts w:ascii="Palatino Linotype" w:hAnsi="Palatino Linotype" w:cs="Arial"/>
          <w:sz w:val="22"/>
          <w:szCs w:val="22"/>
        </w:rPr>
        <w:footnoteReference w:id="136"/>
      </w:r>
      <w:r w:rsidRPr="00440B9F">
        <w:rPr>
          <w:rFonts w:ascii="Palatino Linotype" w:hAnsi="Palatino Linotype" w:cs="Arial"/>
          <w:sz w:val="22"/>
          <w:szCs w:val="22"/>
        </w:rPr>
        <w:t xml:space="preserve"> In 1836, Susan remarried another Syrian Protestant, Elias Fuaz, which reinforced her ties to the Protestant Circle.</w:t>
      </w:r>
      <w:r w:rsidRPr="00440B9F">
        <w:rPr>
          <w:rStyle w:val="FootnoteReference"/>
          <w:rFonts w:ascii="Palatino Linotype" w:hAnsi="Palatino Linotype" w:cs="Arial"/>
          <w:sz w:val="22"/>
          <w:szCs w:val="22"/>
        </w:rPr>
        <w:footnoteReference w:id="137"/>
      </w:r>
      <w:r w:rsidRPr="00440B9F">
        <w:rPr>
          <w:rFonts w:ascii="Palatino Linotype" w:hAnsi="Palatino Linotype" w:cs="Arial"/>
          <w:sz w:val="22"/>
          <w:szCs w:val="22"/>
        </w:rPr>
        <w:t xml:space="preserve"> Susan’s history with the Protestant Circle reflects the complex mixture of agency and vulnerability embodied by other Syrian Protestant women.</w:t>
      </w: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sz w:val="22"/>
          <w:szCs w:val="22"/>
        </w:rPr>
        <w:tab/>
        <w:t>Due to these complexities, the relationships amongst Syrian Protestant women were diverse. The young Syrian Protestant women who were boarding students in missionary families viewed each other as equals and treated one another as sisters.</w:t>
      </w:r>
      <w:r w:rsidRPr="00440B9F">
        <w:rPr>
          <w:rStyle w:val="FootnoteReference"/>
          <w:rFonts w:ascii="Palatino Linotype" w:hAnsi="Palatino Linotype" w:cs="Arial"/>
          <w:sz w:val="22"/>
          <w:szCs w:val="22"/>
        </w:rPr>
        <w:footnoteReference w:id="138"/>
      </w:r>
      <w:r w:rsidRPr="00440B9F">
        <w:rPr>
          <w:rFonts w:ascii="Palatino Linotype" w:hAnsi="Palatino Linotype" w:cs="Arial"/>
          <w:sz w:val="22"/>
          <w:szCs w:val="22"/>
        </w:rPr>
        <w:t xml:space="preserve"> This was particularly true for those educated in the same household, such as Hannie Wortabet, Salome and Melita Carabet, and Rufka and Sada Gregory. Some of these ties of created kinship were strengthened by marriage, for Salome Carabet married John Wortabet and became the sister-in-law of Hannie Wortabet.</w:t>
      </w:r>
      <w:r w:rsidRPr="00440B9F">
        <w:rPr>
          <w:rStyle w:val="FootnoteReference"/>
          <w:rFonts w:ascii="Palatino Linotype" w:hAnsi="Palatino Linotype" w:cs="Arial"/>
          <w:sz w:val="22"/>
          <w:szCs w:val="22"/>
        </w:rPr>
        <w:footnoteReference w:id="139"/>
      </w:r>
      <w:r w:rsidRPr="00440B9F">
        <w:rPr>
          <w:rFonts w:ascii="Palatino Linotype" w:hAnsi="Palatino Linotype" w:cs="Arial"/>
          <w:sz w:val="22"/>
          <w:szCs w:val="22"/>
        </w:rPr>
        <w:t xml:space="preserve"> </w:t>
      </w: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sz w:val="22"/>
          <w:szCs w:val="22"/>
        </w:rPr>
        <w:tab/>
        <w:t>The missionary sources provide less information on the relationships amongst Syrian Protestant women in other contexts. Although Rahil Ata was presented as a role model for other Syrian Protestant women, little information is available on how her contemporaries actually perceived and reacted to her.</w:t>
      </w:r>
      <w:r w:rsidRPr="00440B9F">
        <w:rPr>
          <w:rStyle w:val="FootnoteReference"/>
          <w:rFonts w:ascii="Palatino Linotype" w:hAnsi="Palatino Linotype" w:cs="Arial"/>
          <w:sz w:val="22"/>
          <w:szCs w:val="22"/>
        </w:rPr>
        <w:footnoteReference w:id="140"/>
      </w:r>
      <w:r w:rsidRPr="00440B9F">
        <w:rPr>
          <w:rFonts w:ascii="Palatino Linotype" w:hAnsi="Palatino Linotype" w:cs="Arial"/>
          <w:sz w:val="22"/>
          <w:szCs w:val="22"/>
        </w:rPr>
        <w:t xml:space="preserve"> Likewise, it is unclear if a gap emerged between the different generations of Syrian Protestant women, such as one separating Susan Wortabet and Im Beshera al-Haddad from the students taught at the DeForests’ Female Seminary.</w:t>
      </w:r>
      <w:r w:rsidRPr="00440B9F">
        <w:rPr>
          <w:rStyle w:val="FootnoteReference"/>
          <w:rFonts w:ascii="Palatino Linotype" w:hAnsi="Palatino Linotype" w:cs="Arial"/>
          <w:sz w:val="22"/>
          <w:szCs w:val="22"/>
        </w:rPr>
        <w:footnoteReference w:id="141"/>
      </w:r>
      <w:r w:rsidRPr="00440B9F">
        <w:rPr>
          <w:rFonts w:ascii="Palatino Linotype" w:hAnsi="Palatino Linotype" w:cs="Arial"/>
          <w:sz w:val="22"/>
          <w:szCs w:val="22"/>
        </w:rPr>
        <w:t xml:space="preserve"> It is also unknown if tensions emerged between the Syrian Protestant women living in Beirut and those from Sidon, Hasbaya or Bhamdoun, comparable to the rift between the Aleppine and Baladiyya Maronites during the eighteenth century. Or did the details of Protestant womanhood nullify such geographic divisions, while creating new ones based upon Biblical literacy and ECB membership?</w:t>
      </w: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sz w:val="22"/>
          <w:szCs w:val="22"/>
        </w:rPr>
        <w:tab/>
        <w:t>Despite these uncertainties, the irony that younger Syrian Protestant women embodied the ABCFM’s normative definitions of Protestantism better than older Syrian Protestant women was often emphasised in the missionary sources. Due to their fluency of both Arabic and English, young Syrian Protestant women became teachers, even at a relatively young age. Sarah Smith described ‘an affecting sight’ when she saw ‘a little girl, six years in age, standing by her mother’s knee, and [perform] the office of a teacher’ through instructing her mother to read.</w:t>
      </w:r>
      <w:r w:rsidRPr="00440B9F">
        <w:rPr>
          <w:rStyle w:val="FootnoteReference"/>
          <w:rFonts w:ascii="Palatino Linotype" w:hAnsi="Palatino Linotype" w:cs="Arial"/>
          <w:sz w:val="22"/>
          <w:szCs w:val="22"/>
        </w:rPr>
        <w:footnoteReference w:id="142"/>
      </w:r>
      <w:r w:rsidRPr="00440B9F">
        <w:rPr>
          <w:rFonts w:ascii="Palatino Linotype" w:hAnsi="Palatino Linotype" w:cs="Arial"/>
          <w:sz w:val="22"/>
          <w:szCs w:val="22"/>
        </w:rPr>
        <w:t xml:space="preserve"> While the ABCFM missionaries were encouraged by such sights, it is unknown how this and other reversals of a mother-daughter hierarchy were perceived by Syrian Protestant women. </w:t>
      </w: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sz w:val="22"/>
          <w:szCs w:val="22"/>
        </w:rPr>
        <w:tab/>
        <w:t>The bonds between Syrian Protestant women and their non-Protestant family members were similarly complicated. The conflict between Rahil Ata and her family illuminates that although her family consented to have her educated by the ABCFM missionaries, they did not intend for Rahil to become a Protestant and reject both their guardianship and religious-social identity. Other accounts recall that the women who joined the Protestant Circle faced hardships from their non-Protestant family members.</w:t>
      </w:r>
      <w:r w:rsidRPr="00440B9F">
        <w:rPr>
          <w:rStyle w:val="FootnoteReference"/>
          <w:rFonts w:ascii="Palatino Linotype" w:hAnsi="Palatino Linotype" w:cs="Arial"/>
          <w:sz w:val="22"/>
          <w:szCs w:val="22"/>
        </w:rPr>
        <w:footnoteReference w:id="143"/>
      </w:r>
      <w:r w:rsidRPr="00440B9F">
        <w:rPr>
          <w:rFonts w:ascii="Palatino Linotype" w:hAnsi="Palatino Linotype" w:cs="Arial"/>
          <w:sz w:val="22"/>
          <w:szCs w:val="22"/>
        </w:rPr>
        <w:t xml:space="preserve"> The women who persevered through familial discord were praised by the Protestant Circle, for in rejecting their </w:t>
      </w:r>
      <w:r w:rsidRPr="00440B9F">
        <w:rPr>
          <w:rFonts w:ascii="KoufrUni" w:hAnsi="KoufrUni" w:cs="Arial"/>
          <w:i/>
          <w:sz w:val="22"/>
          <w:szCs w:val="22"/>
        </w:rPr>
        <w:t>ṣ</w:t>
      </w:r>
      <w:r w:rsidRPr="00440B9F">
        <w:rPr>
          <w:rFonts w:ascii="Palatino Linotype" w:hAnsi="Palatino Linotype" w:cs="Arial"/>
          <w:i/>
          <w:sz w:val="22"/>
          <w:szCs w:val="22"/>
        </w:rPr>
        <w:t>ilat al-ra</w:t>
      </w:r>
      <w:r w:rsidRPr="00440B9F">
        <w:rPr>
          <w:rFonts w:ascii="JaghbUni" w:hAnsi="JaghbUni" w:cs="Arial"/>
          <w:i/>
          <w:sz w:val="22"/>
          <w:szCs w:val="22"/>
        </w:rPr>
        <w:t>ḥ</w:t>
      </w:r>
      <w:r w:rsidRPr="00440B9F">
        <w:rPr>
          <w:rFonts w:ascii="Palatino Linotype" w:hAnsi="Palatino Linotype" w:cs="Arial"/>
          <w:i/>
          <w:sz w:val="22"/>
          <w:szCs w:val="22"/>
        </w:rPr>
        <w:t>im</w:t>
      </w:r>
      <w:r w:rsidRPr="00440B9F">
        <w:rPr>
          <w:rFonts w:ascii="Palatino Linotype" w:hAnsi="Palatino Linotype" w:cs="Arial"/>
          <w:sz w:val="22"/>
          <w:szCs w:val="22"/>
        </w:rPr>
        <w:t xml:space="preserve"> (bonds of the womb) or kinship alliances, they strengthened their ties to the Protestant Circle. These women were ‘orphaned’ because of their Protestant commitment, making them more dependent upon the Protestant Circle, which functioned as a new family. However, the sources also reveal that some Syrian Protestant women remained connected to their biological families, despite their conversion and even after experiencing discord. For example, Susan Wortabet returned to Sidon in 1835, to attend her brother’s wedding, which contradicts the ABCFM’s argument that she was shunned by her family because of her conversion.</w:t>
      </w:r>
      <w:r w:rsidRPr="00440B9F">
        <w:rPr>
          <w:rFonts w:ascii="Palatino Linotype" w:hAnsi="Palatino Linotype" w:cs="Arial"/>
          <w:sz w:val="22"/>
          <w:szCs w:val="22"/>
          <w:vertAlign w:val="superscript"/>
        </w:rPr>
        <w:footnoteReference w:id="144"/>
      </w:r>
      <w:r w:rsidRPr="00440B9F">
        <w:rPr>
          <w:rFonts w:ascii="Palatino Linotype" w:hAnsi="Palatino Linotype" w:cs="Arial"/>
          <w:sz w:val="22"/>
          <w:szCs w:val="22"/>
        </w:rPr>
        <w:t xml:space="preserve"> Susan desired to participate in this familial celebration and affirm her relationship with her non-Protestant family members, despite her close connections to the ABCFM missionaries, thus revealing another aspect of this woman’s complicated life and social network. </w:t>
      </w: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sz w:val="22"/>
          <w:szCs w:val="22"/>
        </w:rPr>
        <w:tab/>
        <w:t>The relationships between Syrian Protestant women and other non-Protestant women, European, American or Syrian, are also difficult to determine from the sources. Although the ABCFM missionaries associated with the economic and political elite of Syria, including those with Frank, Ottoman and Syrian backgrounds, it is hard to imagine Syrian Protestant women interacting with such women. Judging from the personalities and tastes of Syrian Protestant women, it can be argued that very few of them were invited to the Franks’ balls, although it is possible that their ‘Levantine’ contemporaries attended such events.</w:t>
      </w:r>
      <w:r w:rsidRPr="00440B9F">
        <w:rPr>
          <w:rFonts w:ascii="Palatino Linotype" w:hAnsi="Palatino Linotype" w:cs="Arial"/>
          <w:sz w:val="22"/>
          <w:szCs w:val="22"/>
          <w:vertAlign w:val="superscript"/>
        </w:rPr>
        <w:footnoteReference w:id="145"/>
      </w:r>
      <w:r w:rsidRPr="00440B9F">
        <w:rPr>
          <w:rFonts w:ascii="Palatino Linotype" w:hAnsi="Palatino Linotype" w:cs="Arial"/>
          <w:sz w:val="22"/>
          <w:szCs w:val="22"/>
        </w:rPr>
        <w:t xml:space="preserve"> Conversely, non-Protestant women ‘examined’ the progress of Syrian students during the public examinations held at the end of school terms, thus displaying their prestige (within secular Beirut society) over Syrian Protestant women.</w:t>
      </w: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sz w:val="22"/>
          <w:szCs w:val="22"/>
        </w:rPr>
        <w:tab/>
        <w:t xml:space="preserve">The ABCFM sources do suggest that Syrian Protestant women had limited contact with Latin missionaries and other Christian </w:t>
      </w:r>
      <w:r w:rsidRPr="00440B9F">
        <w:rPr>
          <w:rFonts w:ascii="Palatino Linotype" w:hAnsi="Palatino Linotype" w:cs="Arial"/>
          <w:bCs/>
          <w:sz w:val="22"/>
          <w:szCs w:val="22"/>
        </w:rPr>
        <w:t>ecclesiastics</w:t>
      </w:r>
      <w:r w:rsidRPr="00440B9F">
        <w:rPr>
          <w:rFonts w:ascii="Palatino Linotype" w:hAnsi="Palatino Linotype" w:cs="Arial"/>
          <w:sz w:val="22"/>
          <w:szCs w:val="22"/>
        </w:rPr>
        <w:t xml:space="preserve"> before 1860. The only sites of contact between these groups are presented as negative encounters: when the women ‘fell back’ to their old faith and rejected Protestantism. However, if Syrian women’s participation in the Protestant Circle is to be regarded as a negotiation of culture and theology, than it can not be automatically assumed that these women cut all ties with their previous religious communities or with other religious organisations. Rather, these women engaged with individuals from different, non-ABCFM organisations, including the Prussian Deaconesses and the Sisters of Charity, during their work as teachers during the late nineteenth century.</w:t>
      </w:r>
      <w:r w:rsidRPr="00440B9F">
        <w:rPr>
          <w:rStyle w:val="FootnoteReference"/>
          <w:rFonts w:ascii="Palatino Linotype" w:hAnsi="Palatino Linotype" w:cs="Arial"/>
          <w:sz w:val="22"/>
          <w:szCs w:val="22"/>
        </w:rPr>
        <w:footnoteReference w:id="146"/>
      </w:r>
      <w:r w:rsidRPr="00440B9F">
        <w:rPr>
          <w:rFonts w:ascii="Palatino Linotype" w:hAnsi="Palatino Linotype" w:cs="Arial"/>
          <w:sz w:val="22"/>
          <w:szCs w:val="22"/>
        </w:rPr>
        <w:t xml:space="preserve"> In other words, although the Syrian Protestant women formed important bonds and tight links with others in the Protestant Circle, it appears that their social networks reached beyond this narrow sphere, even if these connections were not recorded by the ABCFM.</w:t>
      </w: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sz w:val="22"/>
          <w:szCs w:val="22"/>
        </w:rPr>
        <w:tab/>
        <w:t xml:space="preserve"> </w:t>
      </w:r>
    </w:p>
    <w:p w:rsidR="00D42FBF" w:rsidRPr="00440B9F" w:rsidRDefault="00D42FBF" w:rsidP="001761FF">
      <w:pPr>
        <w:spacing w:line="360" w:lineRule="auto"/>
        <w:jc w:val="both"/>
        <w:rPr>
          <w:rFonts w:ascii="Arial" w:hAnsi="Arial" w:cs="Arial"/>
          <w:smallCaps/>
          <w:sz w:val="22"/>
          <w:szCs w:val="22"/>
        </w:rPr>
      </w:pPr>
    </w:p>
    <w:p w:rsidR="00D42FBF" w:rsidRPr="00440B9F" w:rsidRDefault="00D42FBF" w:rsidP="001761FF">
      <w:pPr>
        <w:spacing w:line="360" w:lineRule="auto"/>
        <w:jc w:val="center"/>
        <w:rPr>
          <w:rFonts w:ascii="Arial" w:hAnsi="Arial" w:cs="Arial"/>
          <w:smallCaps/>
          <w:sz w:val="22"/>
          <w:szCs w:val="22"/>
        </w:rPr>
      </w:pPr>
      <w:r w:rsidRPr="00440B9F">
        <w:rPr>
          <w:rFonts w:ascii="Arial" w:hAnsi="Arial" w:cs="Arial"/>
          <w:smallCaps/>
          <w:sz w:val="22"/>
          <w:szCs w:val="22"/>
        </w:rPr>
        <w:t>Protestant Womanhood as a Form of Capital</w:t>
      </w:r>
    </w:p>
    <w:p w:rsidR="00D42FBF" w:rsidRPr="00440B9F" w:rsidRDefault="00D42FBF" w:rsidP="001761FF">
      <w:pPr>
        <w:spacing w:line="360" w:lineRule="auto"/>
        <w:jc w:val="both"/>
        <w:rPr>
          <w:rFonts w:ascii="Palatino Linotype" w:hAnsi="Palatino Linotype" w:cs="Arial"/>
          <w:smallCaps/>
          <w:sz w:val="22"/>
          <w:szCs w:val="22"/>
        </w:rPr>
      </w:pP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sz w:val="22"/>
          <w:szCs w:val="22"/>
        </w:rPr>
        <w:t xml:space="preserve">A specific definition of womanhood emerged within the Protestant Circle due to women’s negotiations of the idealised gender roles that defined this community and through women’s interactions with others. This section explores how two characteristics of Protestant womanhood, education and ‘housekeeping’, developed through the daily activities of ABCFM missionary and Syrian Protestant women. Although these two characteristics were embodied by all women in the community, each woman’s articulation of Protestant womanhood reflected her specific position within the community, which affirmed the divisions presented in the above sections. </w:t>
      </w:r>
    </w:p>
    <w:p w:rsidR="00D42FBF" w:rsidRPr="00440B9F" w:rsidRDefault="00D42FBF" w:rsidP="001761FF">
      <w:pPr>
        <w:spacing w:line="360" w:lineRule="auto"/>
        <w:jc w:val="both"/>
        <w:rPr>
          <w:rFonts w:ascii="Palatino Linotype" w:hAnsi="Palatino Linotype" w:cs="Arial"/>
          <w:sz w:val="22"/>
          <w:szCs w:val="22"/>
        </w:rPr>
      </w:pPr>
    </w:p>
    <w:p w:rsidR="00D42FBF" w:rsidRPr="00440B9F" w:rsidRDefault="00D42FBF" w:rsidP="001761FF">
      <w:pPr>
        <w:spacing w:line="360" w:lineRule="auto"/>
        <w:jc w:val="center"/>
        <w:rPr>
          <w:rFonts w:ascii="Arial" w:hAnsi="Arial" w:cs="Arial"/>
          <w:i/>
          <w:smallCaps/>
          <w:sz w:val="22"/>
          <w:szCs w:val="22"/>
        </w:rPr>
      </w:pPr>
      <w:r w:rsidRPr="00440B9F">
        <w:rPr>
          <w:rFonts w:ascii="Arial" w:hAnsi="Arial" w:cs="Arial"/>
          <w:i/>
          <w:smallCaps/>
          <w:sz w:val="22"/>
          <w:szCs w:val="22"/>
        </w:rPr>
        <w:t>Women, Protestantism and Education</w:t>
      </w:r>
    </w:p>
    <w:p w:rsidR="00D42FBF" w:rsidRPr="00440B9F" w:rsidRDefault="00D42FBF" w:rsidP="001761FF">
      <w:pPr>
        <w:spacing w:line="360" w:lineRule="auto"/>
        <w:jc w:val="both"/>
        <w:rPr>
          <w:rFonts w:ascii="Palatino Linotype" w:hAnsi="Palatino Linotype" w:cs="Arial"/>
          <w:smallCaps/>
          <w:sz w:val="22"/>
          <w:szCs w:val="22"/>
        </w:rPr>
      </w:pP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sz w:val="22"/>
          <w:szCs w:val="22"/>
        </w:rPr>
        <w:t xml:space="preserve">Education was an important aspect of Protestant culture and was defined as the ability to read and write, personal knowledge of the Bible and Protestant theology, and the understanding of certain scientific concepts. Specific activities served as channels through which Protestants acquired and demonstrated this education. These included studying and/or teaching at Protestant schools, reading the Scriptures and Evangelical literature, working at the Mission Press, and writing letters. Acquiring an education and performing these services however, were affected by a person’s gender. This section examines how the education of Protestant women was both gendered and gendering, and created the ideal of, what I call, ‘educated Protestant womanhood’. </w:t>
      </w: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sz w:val="22"/>
          <w:szCs w:val="22"/>
        </w:rPr>
        <w:tab/>
        <w:t>Missionary women received high levels of formal education during their childhood in the United States. Abby Wood, the future Mrs. Bliss, studied at Amherst Academy and Maplewood Academy, where she was a classmate of the author Emily Dickinson.</w:t>
      </w:r>
      <w:r w:rsidRPr="00440B9F">
        <w:rPr>
          <w:rFonts w:ascii="Palatino Linotype" w:hAnsi="Palatino Linotype" w:cs="Arial"/>
          <w:sz w:val="22"/>
          <w:szCs w:val="22"/>
          <w:vertAlign w:val="superscript"/>
        </w:rPr>
        <w:footnoteReference w:id="147"/>
      </w:r>
      <w:r w:rsidRPr="00440B9F">
        <w:rPr>
          <w:rFonts w:ascii="Palatino Linotype" w:hAnsi="Palatino Linotype" w:cs="Arial"/>
          <w:sz w:val="22"/>
          <w:szCs w:val="22"/>
        </w:rPr>
        <w:t xml:space="preserve"> The candidate recommendation letters for both Sarah Huntington and Maria Chapin, Eli Smith’s first and second wives respectfully, described them as possessing ‘mind[s] capable of the studies which would enable her to acquire a difficult language with more faculty than most females.’</w:t>
      </w:r>
      <w:r w:rsidRPr="00440B9F">
        <w:rPr>
          <w:rStyle w:val="FootnoteReference"/>
          <w:rFonts w:ascii="Palatino Linotype" w:hAnsi="Palatino Linotype" w:cs="Arial"/>
          <w:sz w:val="22"/>
          <w:szCs w:val="22"/>
        </w:rPr>
        <w:footnoteReference w:id="148"/>
      </w:r>
      <w:r w:rsidRPr="00440B9F">
        <w:rPr>
          <w:rFonts w:ascii="Palatino Linotype" w:hAnsi="Palatino Linotype" w:cs="Arial"/>
          <w:sz w:val="22"/>
          <w:szCs w:val="22"/>
        </w:rPr>
        <w:t xml:space="preserve"> While deliberating Eli Smith’s offer of marriage, his third wife, Hetty considered the usefulness of her training in ‘metaphysics and poetry’ to her future role as a missionary wife.</w:t>
      </w:r>
      <w:r w:rsidRPr="00440B9F">
        <w:rPr>
          <w:rStyle w:val="FootnoteReference"/>
          <w:rFonts w:ascii="Palatino Linotype" w:hAnsi="Palatino Linotype" w:cs="Arial"/>
          <w:sz w:val="22"/>
          <w:szCs w:val="22"/>
        </w:rPr>
        <w:footnoteReference w:id="149"/>
      </w:r>
      <w:r w:rsidRPr="00440B9F">
        <w:rPr>
          <w:rFonts w:ascii="Palatino Linotype" w:hAnsi="Palatino Linotype" w:cs="Arial"/>
          <w:sz w:val="22"/>
          <w:szCs w:val="22"/>
        </w:rPr>
        <w:t xml:space="preserve"> Although Sarah Smith occupied an elevated position in the Protestant Circle, these other women were considered typical amongst their colleagues, so that high levels of formal education was a normative trait for all missionary women. </w:t>
      </w: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sz w:val="22"/>
          <w:szCs w:val="22"/>
        </w:rPr>
        <w:tab/>
        <w:t>However, the education held by missionary women was also gendered. Academies were the highest level of formal education available to women in the United States during the early nineteenth century, since female scholars were banned from attending colleges. The curriculum taught at academies varied and was determined by the qualifications of its instructors and the ideological confines placed upon the school by its trustees.</w:t>
      </w:r>
      <w:r w:rsidRPr="00440B9F">
        <w:rPr>
          <w:rStyle w:val="FootnoteReference"/>
          <w:rFonts w:ascii="Palatino Linotype" w:hAnsi="Palatino Linotype" w:cs="Arial"/>
          <w:sz w:val="22"/>
          <w:szCs w:val="22"/>
        </w:rPr>
        <w:footnoteReference w:id="150"/>
      </w:r>
      <w:r w:rsidRPr="00440B9F">
        <w:rPr>
          <w:rFonts w:ascii="Palatino Linotype" w:hAnsi="Palatino Linotype" w:cs="Arial"/>
          <w:sz w:val="22"/>
          <w:szCs w:val="22"/>
        </w:rPr>
        <w:t xml:space="preserve"> While these schools provided a liberal arts training and taught Sciences, Reading, Languages and Geography to both boys and girls (sometimes co-educationally), topics such as Oratory and Speech-Writing were more commonly taught to boys, while Embroidery was more often found in the curriculum for girls.</w:t>
      </w:r>
      <w:r w:rsidRPr="00440B9F">
        <w:rPr>
          <w:rStyle w:val="FootnoteReference"/>
          <w:rFonts w:ascii="Palatino Linotype" w:hAnsi="Palatino Linotype" w:cs="Arial"/>
          <w:sz w:val="22"/>
          <w:szCs w:val="22"/>
        </w:rPr>
        <w:footnoteReference w:id="151"/>
      </w:r>
      <w:r w:rsidRPr="00440B9F">
        <w:rPr>
          <w:rFonts w:ascii="Palatino Linotype" w:hAnsi="Palatino Linotype" w:cs="Arial"/>
          <w:sz w:val="22"/>
          <w:szCs w:val="22"/>
        </w:rPr>
        <w:t xml:space="preserve"> Although some suggest that these differences should not outweigh the similarities,</w:t>
      </w:r>
      <w:r w:rsidRPr="00440B9F">
        <w:rPr>
          <w:rStyle w:val="FootnoteReference"/>
          <w:rFonts w:ascii="Palatino Linotype" w:hAnsi="Palatino Linotype" w:cs="Arial"/>
          <w:sz w:val="22"/>
          <w:szCs w:val="22"/>
        </w:rPr>
        <w:footnoteReference w:id="152"/>
      </w:r>
      <w:r w:rsidRPr="00440B9F">
        <w:rPr>
          <w:rFonts w:ascii="Palatino Linotype" w:hAnsi="Palatino Linotype" w:cs="Arial"/>
          <w:sz w:val="22"/>
          <w:szCs w:val="22"/>
        </w:rPr>
        <w:t xml:space="preserve"> this gendering of curriculum determined the qualifications held by the students and influenced the gender roles that developed by the mid-nineteenth century, including the ‘domestication’ of women’s activities. Thus, while missionary women formed part of the American educated elite, the level and character of their education was limited by a gendered hierarchy that defined academia in the United States, which was continued in the Protestant Circle.</w:t>
      </w: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sz w:val="22"/>
          <w:szCs w:val="22"/>
        </w:rPr>
        <w:tab/>
        <w:t>The channels through which missionary women demonstrated their education in Syria were also gendered. Even though teaching was narrowed to be the role of single missionary women and Syrian Protestant women by the 1850s, all missionary women taught at common schools, Sabbath schools and/or for the children in their households.</w:t>
      </w:r>
      <w:r w:rsidRPr="00440B9F">
        <w:rPr>
          <w:rStyle w:val="FootnoteReference"/>
          <w:rFonts w:ascii="Palatino Linotype" w:hAnsi="Palatino Linotype" w:cs="Arial"/>
          <w:sz w:val="22"/>
          <w:szCs w:val="22"/>
        </w:rPr>
        <w:footnoteReference w:id="153"/>
      </w:r>
      <w:r w:rsidRPr="00440B9F">
        <w:rPr>
          <w:rFonts w:ascii="Palatino Linotype" w:hAnsi="Palatino Linotype" w:cs="Arial"/>
          <w:sz w:val="22"/>
          <w:szCs w:val="22"/>
        </w:rPr>
        <w:t xml:space="preserve"> It was through teaching that missionary women displayed their (gendered) liberal arts education. Reading, Sewing and Religion were subjects offered by all missionary women, which were occasionally supplemented by other subjects, such as Italian and ‘the globe and orrery’.</w:t>
      </w:r>
      <w:r w:rsidRPr="00440B9F">
        <w:rPr>
          <w:rStyle w:val="FootnoteReference"/>
          <w:rFonts w:ascii="Palatino Linotype" w:hAnsi="Palatino Linotype" w:cs="Arial"/>
          <w:sz w:val="22"/>
          <w:szCs w:val="22"/>
        </w:rPr>
        <w:footnoteReference w:id="154"/>
      </w:r>
      <w:r w:rsidRPr="00440B9F">
        <w:rPr>
          <w:rFonts w:ascii="Palatino Linotype" w:hAnsi="Palatino Linotype" w:cs="Arial"/>
          <w:sz w:val="22"/>
          <w:szCs w:val="22"/>
        </w:rPr>
        <w:t xml:space="preserve"> These credentials allowed for different women to assist at the DeForests’ Female Seminary and provide classes in History, Arithmetic, Composition, Astronomy, Science, Geography, Drawing and Singing.</w:t>
      </w:r>
      <w:r w:rsidRPr="00440B9F">
        <w:rPr>
          <w:rStyle w:val="FootnoteReference"/>
          <w:rFonts w:ascii="Palatino Linotype" w:hAnsi="Palatino Linotype" w:cs="Arial"/>
          <w:sz w:val="22"/>
          <w:szCs w:val="22"/>
        </w:rPr>
        <w:footnoteReference w:id="155"/>
      </w:r>
      <w:r w:rsidRPr="00440B9F">
        <w:rPr>
          <w:rFonts w:ascii="Palatino Linotype" w:hAnsi="Palatino Linotype" w:cs="Arial"/>
          <w:sz w:val="22"/>
          <w:szCs w:val="22"/>
        </w:rPr>
        <w:t xml:space="preserve"> </w:t>
      </w: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sz w:val="22"/>
          <w:szCs w:val="22"/>
        </w:rPr>
        <w:tab/>
        <w:t>Educated Protestant womanhood was also performed by missionary women outside of the classroom. Missionary women were often perceived by Syrians as possessing high levels of medical knowledge and were sought for medical advice and treatment.</w:t>
      </w:r>
      <w:r w:rsidRPr="00440B9F">
        <w:rPr>
          <w:rFonts w:ascii="Palatino Linotype" w:hAnsi="Palatino Linotype" w:cs="Arial"/>
          <w:sz w:val="22"/>
          <w:szCs w:val="22"/>
          <w:vertAlign w:val="superscript"/>
        </w:rPr>
        <w:footnoteReference w:id="156"/>
      </w:r>
      <w:r w:rsidRPr="00440B9F">
        <w:rPr>
          <w:rFonts w:ascii="Palatino Linotype" w:hAnsi="Palatino Linotype" w:cs="Arial"/>
          <w:sz w:val="22"/>
          <w:szCs w:val="22"/>
        </w:rPr>
        <w:t xml:space="preserve"> Hetty Smith reflected that she was ‘often called upon by the sick and I very much regret my ignorance of such matters, still as was the case this morning, I venture sometimes upon simple remedies to afford relief’.</w:t>
      </w:r>
      <w:r w:rsidRPr="00440B9F">
        <w:rPr>
          <w:rFonts w:ascii="Palatino Linotype" w:hAnsi="Palatino Linotype" w:cs="Arial"/>
          <w:sz w:val="22"/>
          <w:szCs w:val="22"/>
          <w:vertAlign w:val="superscript"/>
        </w:rPr>
        <w:footnoteReference w:id="157"/>
      </w:r>
      <w:r w:rsidRPr="00440B9F">
        <w:rPr>
          <w:rFonts w:ascii="Palatino Linotype" w:hAnsi="Palatino Linotype" w:cs="Arial"/>
          <w:sz w:val="22"/>
          <w:szCs w:val="22"/>
        </w:rPr>
        <w:t xml:space="preserve"> Missionary women tended to provide medical service to women and children, although it appears that Rebecca Hebard also treated Syrian men.</w:t>
      </w:r>
      <w:r w:rsidRPr="00440B9F">
        <w:rPr>
          <w:rFonts w:ascii="Palatino Linotype" w:hAnsi="Palatino Linotype" w:cs="Arial"/>
          <w:sz w:val="22"/>
          <w:szCs w:val="22"/>
          <w:vertAlign w:val="superscript"/>
        </w:rPr>
        <w:footnoteReference w:id="158"/>
      </w:r>
      <w:r w:rsidRPr="00440B9F">
        <w:rPr>
          <w:rFonts w:ascii="Palatino Linotype" w:hAnsi="Palatino Linotype" w:cs="Arial"/>
          <w:sz w:val="22"/>
          <w:szCs w:val="22"/>
        </w:rPr>
        <w:t xml:space="preserve"> Protestant women also shared medical advice with each other, particularly their ‘homespun’ treatments.</w:t>
      </w:r>
      <w:r w:rsidRPr="00440B9F">
        <w:rPr>
          <w:rFonts w:ascii="Palatino Linotype" w:hAnsi="Palatino Linotype" w:cs="Arial"/>
          <w:sz w:val="22"/>
          <w:szCs w:val="22"/>
          <w:vertAlign w:val="superscript"/>
        </w:rPr>
        <w:footnoteReference w:id="159"/>
      </w:r>
      <w:r w:rsidRPr="00440B9F">
        <w:rPr>
          <w:rFonts w:ascii="Palatino Linotype" w:hAnsi="Palatino Linotype" w:cs="Arial"/>
          <w:sz w:val="22"/>
          <w:szCs w:val="22"/>
        </w:rPr>
        <w:t xml:space="preserve"> Although dispensing medicine was an important channel through which missionary women engaged with Syrians, missionary women’s medical activities were regarded by the ABCFM to be inferior to that provided by their male colleagues: both doctors and non-doctors. The ABCFM’s treatment of Loanza Benton emphasises this gendered hierarchy of medical services. Before becoming a missionary, Loanza studied medicine under Dr. Samuel Griggs, in whose house she was a boarder during her years as a teacher in Ware, Massachusetts.</w:t>
      </w:r>
      <w:r w:rsidRPr="00440B9F">
        <w:rPr>
          <w:rFonts w:ascii="Palatino Linotype" w:hAnsi="Palatino Linotype" w:cs="Arial"/>
          <w:sz w:val="22"/>
          <w:szCs w:val="22"/>
          <w:vertAlign w:val="superscript"/>
        </w:rPr>
        <w:footnoteReference w:id="160"/>
      </w:r>
      <w:r w:rsidRPr="00440B9F">
        <w:rPr>
          <w:rFonts w:ascii="Palatino Linotype" w:hAnsi="Palatino Linotype" w:cs="Arial"/>
          <w:sz w:val="22"/>
          <w:szCs w:val="22"/>
        </w:rPr>
        <w:t xml:space="preserve"> Despite her medical training, the ABCFM did not designate her as a ‘medical missionary’, but rather, as an ‘assistant missionary’ alongside other married missionary women.</w:t>
      </w:r>
      <w:r w:rsidRPr="00440B9F">
        <w:rPr>
          <w:rStyle w:val="FootnoteReference"/>
          <w:rFonts w:ascii="Palatino Linotype" w:hAnsi="Palatino Linotype" w:cs="Arial"/>
          <w:sz w:val="22"/>
          <w:szCs w:val="22"/>
        </w:rPr>
        <w:footnoteReference w:id="161"/>
      </w:r>
      <w:r w:rsidRPr="00440B9F">
        <w:rPr>
          <w:rFonts w:ascii="Palatino Linotype" w:hAnsi="Palatino Linotype" w:cs="Arial"/>
          <w:sz w:val="22"/>
          <w:szCs w:val="22"/>
        </w:rPr>
        <w:t xml:space="preserve"> Thus, the ABCFM's perception of missionary work affirmed a gendered hierarchy that positioned men as the official workers at the Syrian Station and regulators of medicine, with women in marginal, assistant positions.</w:t>
      </w: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sz w:val="22"/>
          <w:szCs w:val="22"/>
        </w:rPr>
        <w:tab/>
        <w:t>Educated Protestant womanhood was also performed by Syrian women, but in a manner that emphasised the differences amongst women in this group. The primary distinction amongst Syrian Protestant woman was the age at which the woman joined the Protestant Circle, with ‘younger’ Syrian women possessing higher levels of Protestant education than ‘older’ Syrian women.</w:t>
      </w: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sz w:val="22"/>
          <w:szCs w:val="22"/>
        </w:rPr>
        <w:tab/>
        <w:t>Many of the older Syrian Protestant women, who joined the Protestant Circle as adults, were initially illiterate, unfamiliar with the Scripture and did not possess ‘scientific’ knowledge.</w:t>
      </w:r>
      <w:r w:rsidRPr="00440B9F">
        <w:rPr>
          <w:rStyle w:val="FootnoteReference"/>
          <w:rFonts w:ascii="Palatino Linotype" w:hAnsi="Palatino Linotype" w:cs="Arial"/>
          <w:sz w:val="22"/>
          <w:szCs w:val="22"/>
        </w:rPr>
        <w:footnoteReference w:id="162"/>
      </w:r>
      <w:r w:rsidRPr="00440B9F">
        <w:rPr>
          <w:rFonts w:ascii="Palatino Linotype" w:hAnsi="Palatino Linotype" w:cs="Arial"/>
          <w:sz w:val="22"/>
          <w:szCs w:val="22"/>
        </w:rPr>
        <w:t xml:space="preserve"> Rather, the education held by these women reflected their gendered upbringing in Syria.</w:t>
      </w:r>
      <w:r w:rsidRPr="00440B9F">
        <w:rPr>
          <w:rStyle w:val="FootnoteReference"/>
          <w:rFonts w:ascii="Palatino Linotype" w:hAnsi="Palatino Linotype" w:cs="Arial"/>
          <w:sz w:val="22"/>
          <w:szCs w:val="22"/>
        </w:rPr>
        <w:footnoteReference w:id="163"/>
      </w:r>
      <w:r w:rsidRPr="00440B9F">
        <w:rPr>
          <w:rFonts w:ascii="Palatino Linotype" w:hAnsi="Palatino Linotype" w:cs="Arial"/>
          <w:sz w:val="22"/>
          <w:szCs w:val="22"/>
        </w:rPr>
        <w:t xml:space="preserve"> For example, most older Syrian Protestant women were knowledgeable of the foods needed to participate in the different feasts celebrated by their previous churches, as well as the foods to be avoided during fasts. While this was important for social interactions, particularly when engaging with non-Protestant servants and colleagues, the ABCFM deemed this knowledge superfluous and argued that the basis of Protestant education should be the Bible; not religious ‘traditions’.</w:t>
      </w:r>
      <w:r w:rsidRPr="00440B9F">
        <w:rPr>
          <w:rFonts w:ascii="Palatino Linotype" w:hAnsi="Palatino Linotype" w:cs="Arial"/>
          <w:sz w:val="22"/>
          <w:szCs w:val="22"/>
          <w:vertAlign w:val="superscript"/>
        </w:rPr>
        <w:footnoteReference w:id="164"/>
      </w:r>
      <w:r w:rsidRPr="00440B9F">
        <w:rPr>
          <w:rFonts w:ascii="Palatino Linotype" w:hAnsi="Palatino Linotype" w:cs="Arial"/>
          <w:sz w:val="22"/>
          <w:szCs w:val="22"/>
        </w:rPr>
        <w:t xml:space="preserve"> As many of these women were initially illiterate when they converted, they became ‘hearers’ of the Scripture during their regular attendance at Sabbath services and Female Prayer meetings.</w:t>
      </w:r>
      <w:r w:rsidRPr="00440B9F">
        <w:rPr>
          <w:rFonts w:ascii="Palatino Linotype" w:hAnsi="Palatino Linotype" w:cs="Arial"/>
          <w:sz w:val="22"/>
          <w:szCs w:val="22"/>
          <w:vertAlign w:val="superscript"/>
        </w:rPr>
        <w:footnoteReference w:id="165"/>
      </w:r>
      <w:r w:rsidRPr="00440B9F">
        <w:rPr>
          <w:rFonts w:ascii="Palatino Linotype" w:hAnsi="Palatino Linotype" w:cs="Arial"/>
          <w:sz w:val="22"/>
          <w:szCs w:val="22"/>
        </w:rPr>
        <w:t xml:space="preserve"> While some, like John Wortabet, argued that listening to the Bible was an important way to gain Biblical knowledge, the ABCFM missionaries questioned the depth of these women’s reformation.</w:t>
      </w:r>
      <w:r w:rsidRPr="00440B9F">
        <w:rPr>
          <w:rStyle w:val="FootnoteReference"/>
          <w:rFonts w:ascii="Palatino Linotype" w:hAnsi="Palatino Linotype" w:cs="Arial"/>
          <w:sz w:val="22"/>
          <w:szCs w:val="22"/>
        </w:rPr>
        <w:footnoteReference w:id="166"/>
      </w:r>
      <w:r w:rsidRPr="00440B9F">
        <w:rPr>
          <w:rFonts w:ascii="Palatino Linotype" w:hAnsi="Palatino Linotype" w:cs="Arial"/>
          <w:sz w:val="22"/>
          <w:szCs w:val="22"/>
        </w:rPr>
        <w:t xml:space="preserve"> This limited ‘knowledge’ emphasised older Syrian Protestant women’s tenuous and marginal position within the Protestant Circle. </w:t>
      </w: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sz w:val="22"/>
          <w:szCs w:val="22"/>
        </w:rPr>
        <w:tab/>
        <w:t>In contrast, several of the young Syrian Protestant women were regarded as successfully embodying educated Protestant womanhood. As noted above, the education taught to Syrian children by the ABCFM missionaries included Reading, Writing, Religion, Sciences and Singing, with Needlework and Domestic Economy also offered for girls.</w:t>
      </w:r>
      <w:r w:rsidRPr="00440B9F">
        <w:rPr>
          <w:rStyle w:val="FootnoteReference"/>
          <w:rFonts w:ascii="Palatino Linotype" w:hAnsi="Palatino Linotype" w:cs="Arial"/>
          <w:sz w:val="22"/>
          <w:szCs w:val="22"/>
        </w:rPr>
        <w:footnoteReference w:id="167"/>
      </w:r>
      <w:r w:rsidRPr="00440B9F">
        <w:rPr>
          <w:rFonts w:ascii="Palatino Linotype" w:hAnsi="Palatino Linotype" w:cs="Arial"/>
          <w:sz w:val="22"/>
          <w:szCs w:val="22"/>
        </w:rPr>
        <w:t xml:space="preserve"> Due to the missionaries’ difficulties in learning Arabic, they often relied upon English textbooks and conducted classes in English to instruct Syrian children.</w:t>
      </w:r>
      <w:r w:rsidRPr="00440B9F">
        <w:rPr>
          <w:rStyle w:val="FootnoteReference"/>
          <w:rFonts w:ascii="Palatino Linotype" w:hAnsi="Palatino Linotype" w:cs="Arial"/>
          <w:sz w:val="22"/>
          <w:szCs w:val="22"/>
        </w:rPr>
        <w:footnoteReference w:id="168"/>
      </w:r>
      <w:r w:rsidRPr="00440B9F">
        <w:rPr>
          <w:rFonts w:ascii="Palatino Linotype" w:hAnsi="Palatino Linotype" w:cs="Arial"/>
          <w:sz w:val="22"/>
          <w:szCs w:val="22"/>
        </w:rPr>
        <w:t xml:space="preserve"> Although the ABCFM argued that this made the students ‘unfit’ to Syrian society, it nevertheless created a cadre of bilingual, literate students who had a deep understanding of the Bible and Sciences.</w:t>
      </w:r>
      <w:r w:rsidRPr="00440B9F">
        <w:rPr>
          <w:rFonts w:ascii="Palatino Linotype" w:hAnsi="Palatino Linotype" w:cs="Arial"/>
          <w:sz w:val="22"/>
          <w:szCs w:val="22"/>
          <w:vertAlign w:val="superscript"/>
        </w:rPr>
        <w:footnoteReference w:id="169"/>
      </w:r>
      <w:r w:rsidRPr="00440B9F">
        <w:rPr>
          <w:rFonts w:ascii="Palatino Linotype" w:hAnsi="Palatino Linotype" w:cs="Arial"/>
          <w:sz w:val="22"/>
          <w:szCs w:val="22"/>
        </w:rPr>
        <w:t xml:space="preserve"> Some of the young Syrian Protestant women refined their education at the DeForests’ Female Seminary, where they studied Arabic, English, Geography, the Bible, Arithmetic, Sewing, Knitting, ‘Natural Philosophy’, ‘Scriptural history’, History and Composition.</w:t>
      </w:r>
      <w:r w:rsidRPr="00440B9F">
        <w:rPr>
          <w:rFonts w:ascii="Palatino Linotype" w:hAnsi="Palatino Linotype" w:cs="Arial"/>
          <w:sz w:val="22"/>
          <w:szCs w:val="22"/>
          <w:vertAlign w:val="superscript"/>
        </w:rPr>
        <w:footnoteReference w:id="170"/>
      </w:r>
      <w:r w:rsidRPr="00440B9F">
        <w:rPr>
          <w:rFonts w:ascii="Palatino Linotype" w:hAnsi="Palatino Linotype" w:cs="Arial"/>
          <w:sz w:val="22"/>
          <w:szCs w:val="22"/>
        </w:rPr>
        <w:t xml:space="preserve">  </w:t>
      </w:r>
      <w:r w:rsidRPr="00440B9F">
        <w:rPr>
          <w:rFonts w:ascii="Palatino Linotype" w:hAnsi="Palatino Linotype"/>
          <w:sz w:val="22"/>
          <w:szCs w:val="22"/>
        </w:rPr>
        <w:t>Henry DeForest argued that the purpose of this diverse education was to ‘prepare [the students] to be useful and happy in the narrow domestic sphere in which they will hereafter be obliged to move</w:t>
      </w:r>
      <w:r w:rsidRPr="00440B9F">
        <w:rPr>
          <w:rFonts w:ascii="Palatino Linotype" w:hAnsi="Palatino Linotype" w:cs="Arial"/>
          <w:sz w:val="22"/>
          <w:szCs w:val="22"/>
        </w:rPr>
        <w:t>’.</w:t>
      </w:r>
      <w:r w:rsidRPr="00440B9F">
        <w:rPr>
          <w:rStyle w:val="FootnoteReference"/>
          <w:rFonts w:ascii="Palatino Linotype" w:hAnsi="Palatino Linotype" w:cs="Arial"/>
          <w:sz w:val="22"/>
          <w:szCs w:val="22"/>
        </w:rPr>
        <w:footnoteReference w:id="171"/>
      </w:r>
      <w:r w:rsidRPr="00440B9F">
        <w:rPr>
          <w:rFonts w:ascii="Palatino Linotype" w:hAnsi="Palatino Linotype" w:cs="Arial"/>
          <w:sz w:val="22"/>
          <w:szCs w:val="22"/>
        </w:rPr>
        <w:t xml:space="preserve"> Although this aim affirmed the narrowing of gender roles during the later years, the rest of this section will show that the activities performed by young Syrian Protestant women to demonstrate their educated womanhood did not always affirm this narrowed goal.</w:t>
      </w: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sz w:val="22"/>
          <w:szCs w:val="22"/>
        </w:rPr>
        <w:tab/>
        <w:t>Letter writing was one channel through which young Syrian women displayed their educational capabilities.</w:t>
      </w:r>
      <w:r w:rsidRPr="00440B9F">
        <w:rPr>
          <w:rStyle w:val="FootnoteReference"/>
          <w:rFonts w:ascii="Palatino Linotype" w:hAnsi="Palatino Linotype" w:cs="Arial"/>
          <w:sz w:val="22"/>
          <w:szCs w:val="22"/>
        </w:rPr>
        <w:footnoteReference w:id="172"/>
      </w:r>
      <w:r w:rsidRPr="00440B9F">
        <w:rPr>
          <w:rFonts w:ascii="Palatino Linotype" w:hAnsi="Palatino Linotype" w:cs="Arial"/>
          <w:sz w:val="22"/>
          <w:szCs w:val="22"/>
        </w:rPr>
        <w:t xml:space="preserve"> Letter writing was used in the DeForests’ Female Seminary as a means to ‘improve [the] epistolary style’ of students, so that, ‘half a dozen letters to parents, brothers and sisters [were regularly] thrown upon [Henry DeForest’s] table for inspection’.</w:t>
      </w:r>
      <w:r w:rsidRPr="00440B9F">
        <w:rPr>
          <w:rStyle w:val="FootnoteReference"/>
          <w:rFonts w:ascii="Palatino Linotype" w:hAnsi="Palatino Linotype" w:cs="Arial"/>
          <w:sz w:val="22"/>
          <w:szCs w:val="22"/>
        </w:rPr>
        <w:footnoteReference w:id="173"/>
      </w:r>
      <w:r w:rsidRPr="00440B9F">
        <w:rPr>
          <w:rFonts w:ascii="Palatino Linotype" w:hAnsi="Palatino Linotype" w:cs="Arial"/>
          <w:sz w:val="22"/>
          <w:szCs w:val="22"/>
        </w:rPr>
        <w:t xml:space="preserve"> While none of the seminarians’ letters were found in the archives, others written by young Syrian Protestant women were located. These were written in English, which shows the women’s fluency in both Arabic and English.</w:t>
      </w:r>
      <w:r w:rsidRPr="00440B9F">
        <w:rPr>
          <w:rStyle w:val="FootnoteReference"/>
          <w:rFonts w:ascii="Palatino Linotype" w:hAnsi="Palatino Linotype" w:cs="Arial"/>
          <w:sz w:val="22"/>
          <w:szCs w:val="22"/>
        </w:rPr>
        <w:footnoteReference w:id="174"/>
      </w:r>
      <w:r w:rsidRPr="00440B9F">
        <w:rPr>
          <w:rFonts w:ascii="Palatino Linotype" w:hAnsi="Palatino Linotype" w:cs="Arial"/>
          <w:sz w:val="22"/>
          <w:szCs w:val="22"/>
        </w:rPr>
        <w:t xml:space="preserve"> The aforementioned letter transcribed by Sarah al-Bustani, was written in English for an older Syrian Protestant woman, Um Mansour, who was either illiterate or had limited English-language skills.</w:t>
      </w:r>
      <w:r w:rsidRPr="00440B9F">
        <w:rPr>
          <w:rStyle w:val="FootnoteReference"/>
          <w:rFonts w:ascii="Palatino Linotype" w:hAnsi="Palatino Linotype" w:cs="Arial"/>
          <w:sz w:val="22"/>
          <w:szCs w:val="22"/>
        </w:rPr>
        <w:footnoteReference w:id="175"/>
      </w:r>
      <w:r w:rsidRPr="00440B9F">
        <w:rPr>
          <w:rFonts w:ascii="Palatino Linotype" w:hAnsi="Palatino Linotype" w:cs="Arial"/>
          <w:sz w:val="22"/>
          <w:szCs w:val="22"/>
        </w:rPr>
        <w:t xml:space="preserve"> The content of young Syrian Protestant women’s letters also reveals the depth of these women’s education and the channels through which they displayed their knowledge. In 1852, Hannie Wortabet wrote a letter, in English, to Eli Smith, in which Hannie discussed her work on an Arabic grammar index that was commissioned by Eli. Hannie remarked: </w:t>
      </w:r>
    </w:p>
    <w:p w:rsidR="00D42FBF" w:rsidRDefault="00D42FBF" w:rsidP="001761FF">
      <w:pPr>
        <w:ind w:left="720" w:right="720"/>
        <w:jc w:val="both"/>
        <w:rPr>
          <w:rFonts w:ascii="Palatino Linotype" w:hAnsi="Palatino Linotype" w:cs="Arial"/>
        </w:rPr>
      </w:pPr>
      <w:r w:rsidRPr="00440B9F">
        <w:rPr>
          <w:rFonts w:ascii="Palatino Linotype" w:hAnsi="Palatino Linotype" w:cs="Arial"/>
          <w:sz w:val="22"/>
          <w:szCs w:val="22"/>
        </w:rPr>
        <w:t>You request me to tell you what I expect as a recompensation [</w:t>
      </w:r>
      <w:r w:rsidRPr="00440B9F">
        <w:rPr>
          <w:rFonts w:ascii="Palatino Linotype" w:hAnsi="Palatino Linotype" w:cs="Arial"/>
          <w:i/>
          <w:sz w:val="22"/>
          <w:szCs w:val="22"/>
        </w:rPr>
        <w:t>sic</w:t>
      </w:r>
      <w:r w:rsidRPr="00440B9F">
        <w:rPr>
          <w:rFonts w:ascii="Palatino Linotype" w:hAnsi="Palatino Linotype" w:cs="Arial"/>
          <w:sz w:val="22"/>
          <w:szCs w:val="22"/>
        </w:rPr>
        <w:t>] for [this work], but I feel assured that you know what is just and proper better than I do, and am willing to accept what ever you will please to give me. [</w:t>
      </w:r>
      <w:r w:rsidRPr="00440B9F">
        <w:rPr>
          <w:rFonts w:ascii="Palatino Linotype" w:hAnsi="Palatino Linotype" w:cs="Arial"/>
          <w:i/>
          <w:sz w:val="22"/>
          <w:szCs w:val="22"/>
        </w:rPr>
        <w:t>sic</w:t>
      </w:r>
      <w:r w:rsidRPr="00440B9F">
        <w:rPr>
          <w:rFonts w:ascii="Palatino Linotype" w:hAnsi="Palatino Linotype" w:cs="Arial"/>
          <w:sz w:val="22"/>
          <w:szCs w:val="22"/>
        </w:rPr>
        <w:t>]  I am sorry that it has remained so long with me, but there were times when I felt as if I should not be able to complete it and the consciousness that I have actually persevered in it to the end is a source of great satisfaction to me.</w:t>
      </w:r>
      <w:r w:rsidRPr="00440B9F">
        <w:rPr>
          <w:rStyle w:val="FootnoteReference"/>
          <w:rFonts w:ascii="Palatino Linotype" w:hAnsi="Palatino Linotype" w:cs="Arial"/>
          <w:sz w:val="22"/>
          <w:szCs w:val="22"/>
        </w:rPr>
        <w:footnoteReference w:id="176"/>
      </w:r>
      <w:r w:rsidRPr="00440B9F">
        <w:rPr>
          <w:rFonts w:ascii="Palatino Linotype" w:hAnsi="Palatino Linotype" w:cs="Arial"/>
          <w:sz w:val="22"/>
          <w:szCs w:val="22"/>
        </w:rPr>
        <w:t xml:space="preserve"> </w:t>
      </w:r>
    </w:p>
    <w:p w:rsidR="00D42FBF" w:rsidRPr="00440B9F" w:rsidRDefault="00D42FBF" w:rsidP="001761FF">
      <w:pPr>
        <w:ind w:left="720" w:right="720"/>
        <w:jc w:val="both"/>
        <w:rPr>
          <w:rFonts w:ascii="Palatino Linotype" w:hAnsi="Palatino Linotype" w:cs="Arial"/>
          <w:sz w:val="22"/>
          <w:szCs w:val="22"/>
        </w:rPr>
      </w:pP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sz w:val="22"/>
          <w:szCs w:val="22"/>
        </w:rPr>
        <w:t>This letter suggests that Hannie was a paid editor for the Mission Press, a role that has been overlooked by historians. Thus, letters were more than simple correspondences between people, but important channels through which young Syrian Protestant women conveyed information, affirmed relationships, demonstrated their educational qualifications and revealed the plurality of their activities.</w:t>
      </w: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sz w:val="22"/>
          <w:szCs w:val="22"/>
        </w:rPr>
        <w:tab/>
        <w:t>Young Syrian Protestant women employed their educational qualifications in their work as teachers for the schools funded by the ABCFM.</w:t>
      </w:r>
      <w:r w:rsidRPr="00440B9F">
        <w:rPr>
          <w:rStyle w:val="FootnoteReference"/>
          <w:rFonts w:ascii="Palatino Linotype" w:hAnsi="Palatino Linotype" w:cs="Arial"/>
          <w:sz w:val="22"/>
          <w:szCs w:val="22"/>
        </w:rPr>
        <w:footnoteReference w:id="177"/>
      </w:r>
      <w:r w:rsidRPr="00440B9F">
        <w:rPr>
          <w:rFonts w:ascii="Palatino Linotype" w:hAnsi="Palatino Linotype" w:cs="Arial"/>
          <w:sz w:val="22"/>
          <w:szCs w:val="22"/>
        </w:rPr>
        <w:t xml:space="preserve"> In 1847, a girl’s school at Abeih was ‘taught by the two oldest girls in Mr. Whiting’s family’ and was regarded as ‘an interesting branch of [ABCFM] missionary work at this station’.</w:t>
      </w:r>
      <w:r w:rsidRPr="00440B9F">
        <w:rPr>
          <w:rStyle w:val="FootnoteReference"/>
          <w:rFonts w:ascii="Palatino Linotype" w:hAnsi="Palatino Linotype" w:cs="Arial"/>
          <w:sz w:val="22"/>
          <w:szCs w:val="22"/>
        </w:rPr>
        <w:footnoteReference w:id="178"/>
      </w:r>
      <w:r w:rsidRPr="00440B9F">
        <w:rPr>
          <w:rFonts w:ascii="Palatino Linotype" w:hAnsi="Palatino Linotype" w:cs="Arial"/>
          <w:sz w:val="22"/>
          <w:szCs w:val="22"/>
        </w:rPr>
        <w:t xml:space="preserve"> Drawing from the Lancastrian system of educational instruction, Khozma Ata and Lulu Araman supervised the education of younger students at the DeForests’ Female Seminary.</w:t>
      </w:r>
      <w:r w:rsidRPr="00440B9F">
        <w:rPr>
          <w:rStyle w:val="FootnoteReference"/>
          <w:rFonts w:ascii="Palatino Linotype" w:hAnsi="Palatino Linotype" w:cs="Arial"/>
          <w:sz w:val="22"/>
          <w:szCs w:val="22"/>
        </w:rPr>
        <w:footnoteReference w:id="179"/>
      </w:r>
      <w:r w:rsidRPr="00440B9F">
        <w:rPr>
          <w:rFonts w:ascii="Palatino Linotype" w:hAnsi="Palatino Linotype" w:cs="Arial"/>
          <w:sz w:val="22"/>
          <w:szCs w:val="22"/>
        </w:rPr>
        <w:t xml:space="preserve"> Hiring Syrian students as teachers was one solution to the ABCFM missionaries’ language difficulties. Being bilingual allowed the Syrian student-teachers to receive direction from ABCFM missionaries concerning the curriculum, which they could then translate into Arabic more easily than most missionaries. As a result, the missionary Henry Harris Jessup explained that the school run by Sada Sabunjy in 1858 taught ‘Reading, Arithmetic, Geography, Spelling, Catechism, and Scripture’ and was well attended and positively received by their neighbours in Tripoli.</w:t>
      </w:r>
      <w:r w:rsidRPr="00440B9F">
        <w:rPr>
          <w:rStyle w:val="FootnoteReference"/>
          <w:rFonts w:ascii="Palatino Linotype" w:hAnsi="Palatino Linotype" w:cs="Arial"/>
          <w:sz w:val="22"/>
          <w:szCs w:val="22"/>
        </w:rPr>
        <w:footnoteReference w:id="180"/>
      </w:r>
      <w:r w:rsidRPr="00440B9F">
        <w:rPr>
          <w:rFonts w:ascii="Palatino Linotype" w:hAnsi="Palatino Linotype" w:cs="Arial"/>
          <w:sz w:val="22"/>
          <w:szCs w:val="22"/>
        </w:rPr>
        <w:t xml:space="preserve"> </w:t>
      </w: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sz w:val="22"/>
          <w:szCs w:val="22"/>
        </w:rPr>
        <w:tab/>
        <w:t>Employing young Syrian Protestant women as teachers problematised the aim of women’s education as to make the women suitable for the ‘narrow domestic sphere’. Although the missionaries emphasised that their educational instruction ended when the women ‘arrive[d] at a suitable age for forming matrimonial connections’, meaning the mid to late teenage years,</w:t>
      </w:r>
      <w:r w:rsidRPr="00440B9F">
        <w:rPr>
          <w:rFonts w:ascii="Palatino Linotype" w:hAnsi="Palatino Linotype" w:cs="Arial"/>
          <w:sz w:val="22"/>
          <w:szCs w:val="22"/>
          <w:vertAlign w:val="superscript"/>
        </w:rPr>
        <w:footnoteReference w:id="181"/>
      </w:r>
      <w:r w:rsidRPr="00440B9F">
        <w:rPr>
          <w:rFonts w:ascii="Palatino Linotype" w:hAnsi="Palatino Linotype" w:cs="Arial"/>
          <w:sz w:val="22"/>
          <w:szCs w:val="22"/>
        </w:rPr>
        <w:t xml:space="preserve"> these women often delayed their marriages in order to pursue educational employment. For example, the abovementioned Sada Sabunjy was roughly sixteen years old when she left the DeForests’ Female Seminary in 1852. After spending some time with her family, Sada was asked by Eli Smith and George Whiting in 1855 to teach at ABCFM funded schools, which she did for the next four years. Her teaching at these schools ended in 1859, when, at the age of twenty three, Sada married M. Yusuf Barakat.</w:t>
      </w:r>
      <w:r w:rsidRPr="00440B9F">
        <w:rPr>
          <w:rFonts w:ascii="Palatino Linotype" w:hAnsi="Palatino Linotype" w:cs="Arial"/>
          <w:sz w:val="22"/>
          <w:szCs w:val="22"/>
          <w:vertAlign w:val="superscript"/>
        </w:rPr>
        <w:footnoteReference w:id="182"/>
      </w:r>
      <w:r w:rsidRPr="00440B9F">
        <w:rPr>
          <w:rFonts w:ascii="Palatino Linotype" w:hAnsi="Palatino Linotype" w:cs="Arial"/>
          <w:sz w:val="22"/>
          <w:szCs w:val="22"/>
        </w:rPr>
        <w:t xml:space="preserve"> While the ABCFM missionaries and some male Syrian Protestants articulated that an educated Syrian woman’s role was to positively influence the behaviour and development of her husband and children, the actual work of these women problematised this idealised role, through delaying their marriages and exerting an influence over a wider scope of the Syrian population, which appears to have been condoned by some within the Protestant Circle.</w:t>
      </w: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sz w:val="22"/>
          <w:szCs w:val="22"/>
        </w:rPr>
        <w:tab/>
        <w:t>Young Syrian Protestant women’s high level of formal education, letter writing activities and teaching experiences opened these women to new opportunities, which further undermined the aim of their education to produce Protestant wives/mothers. The number of schools for girls not controlled by the ABCFM increased during the late 1850s and especially after 1860. These included the schools run by Protestant missionaries of the Free Church of Scotland and the Prussian Deaconesses, as well as those organised by Roman Catholic missionaries, the Maronite and Greek Orthodox Churches.</w:t>
      </w:r>
      <w:r w:rsidRPr="00440B9F">
        <w:rPr>
          <w:rFonts w:ascii="Palatino Linotype" w:hAnsi="Palatino Linotype" w:cs="Arial"/>
          <w:sz w:val="22"/>
          <w:szCs w:val="22"/>
          <w:vertAlign w:val="superscript"/>
        </w:rPr>
        <w:footnoteReference w:id="183"/>
      </w:r>
      <w:r w:rsidRPr="00440B9F">
        <w:rPr>
          <w:rFonts w:ascii="Palatino Linotype" w:hAnsi="Palatino Linotype" w:cs="Arial"/>
          <w:sz w:val="22"/>
          <w:szCs w:val="22"/>
        </w:rPr>
        <w:t xml:space="preserve"> This ‘democratisation’ of female education not only increased the number of girls who received formal education in Syria, but it created a new demand for teachers and increased the outlets through which women could display their skills. As a result, many of the young Syrian Protestant women, particularly the graduates of the DeForests’ Female Seminary, taught at schools run by non-ABCFM organisations.</w:t>
      </w:r>
      <w:r w:rsidRPr="00440B9F">
        <w:rPr>
          <w:rStyle w:val="FootnoteReference"/>
          <w:rFonts w:ascii="Palatino Linotype" w:hAnsi="Palatino Linotype" w:cs="Arial"/>
          <w:sz w:val="22"/>
          <w:szCs w:val="22"/>
        </w:rPr>
        <w:footnoteReference w:id="184"/>
      </w:r>
      <w:r w:rsidRPr="00440B9F">
        <w:rPr>
          <w:rFonts w:ascii="Palatino Linotype" w:hAnsi="Palatino Linotype" w:cs="Arial"/>
          <w:sz w:val="22"/>
          <w:szCs w:val="22"/>
        </w:rPr>
        <w:t xml:space="preserve"> This included Sada (Sabunjy) Barakat, who taught at the British Syrian Schools after the death of her husband in 1860.</w:t>
      </w:r>
      <w:r w:rsidRPr="00440B9F">
        <w:rPr>
          <w:rStyle w:val="FootnoteReference"/>
          <w:rFonts w:ascii="Palatino Linotype" w:hAnsi="Palatino Linotype" w:cs="Arial"/>
          <w:sz w:val="22"/>
          <w:szCs w:val="22"/>
        </w:rPr>
        <w:footnoteReference w:id="185"/>
      </w:r>
      <w:r w:rsidRPr="00440B9F">
        <w:rPr>
          <w:rFonts w:ascii="Palatino Linotype" w:hAnsi="Palatino Linotype" w:cs="Arial"/>
          <w:sz w:val="22"/>
          <w:szCs w:val="22"/>
        </w:rPr>
        <w:t xml:space="preserve"> While these women applied the educational skills acquired at the ABCFM’s school to their new careers, their employment by non-ABCFM organisations and encouragement of alternative definitions of female education (as well as Protestantism and gender) represents an important challenge to the centrality of the ABCFM missionaries in the Protestant community and their control of Protestantism.</w:t>
      </w:r>
      <w:r w:rsidRPr="00440B9F">
        <w:rPr>
          <w:rStyle w:val="FootnoteReference"/>
          <w:rFonts w:ascii="Palatino Linotype" w:hAnsi="Palatino Linotype" w:cs="Arial"/>
          <w:sz w:val="22"/>
          <w:szCs w:val="22"/>
        </w:rPr>
        <w:footnoteReference w:id="186"/>
      </w: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sz w:val="22"/>
          <w:szCs w:val="22"/>
        </w:rPr>
        <w:tab/>
      </w:r>
      <w:r w:rsidRPr="00440B9F">
        <w:rPr>
          <w:rFonts w:ascii="Palatino Linotype" w:hAnsi="Palatino Linotype" w:cs="Arial"/>
          <w:sz w:val="22"/>
          <w:szCs w:val="22"/>
        </w:rPr>
        <w:tab/>
      </w:r>
    </w:p>
    <w:p w:rsidR="00D42FBF" w:rsidRPr="00440B9F" w:rsidRDefault="00D42FBF" w:rsidP="001761FF">
      <w:pPr>
        <w:spacing w:line="360" w:lineRule="auto"/>
        <w:jc w:val="center"/>
        <w:rPr>
          <w:rFonts w:ascii="Arial" w:hAnsi="Arial" w:cs="Arial"/>
          <w:i/>
          <w:smallCaps/>
          <w:sz w:val="22"/>
          <w:szCs w:val="22"/>
        </w:rPr>
      </w:pPr>
      <w:r w:rsidRPr="00440B9F">
        <w:rPr>
          <w:rFonts w:ascii="Arial" w:hAnsi="Arial" w:cs="Arial"/>
          <w:i/>
          <w:smallCaps/>
          <w:sz w:val="22"/>
          <w:szCs w:val="22"/>
        </w:rPr>
        <w:t>The Struggles of Housekeeping</w:t>
      </w:r>
    </w:p>
    <w:p w:rsidR="00D42FBF" w:rsidRPr="00440B9F" w:rsidRDefault="00D42FBF" w:rsidP="001761FF">
      <w:pPr>
        <w:spacing w:line="360" w:lineRule="auto"/>
        <w:jc w:val="both"/>
        <w:rPr>
          <w:rFonts w:ascii="Palatino Linotype" w:hAnsi="Palatino Linotype" w:cs="Arial"/>
          <w:smallCaps/>
          <w:sz w:val="22"/>
          <w:szCs w:val="22"/>
        </w:rPr>
      </w:pPr>
      <w:r w:rsidRPr="00440B9F">
        <w:rPr>
          <w:rFonts w:ascii="Palatino Linotype" w:hAnsi="Palatino Linotype" w:cs="Arial"/>
          <w:smallCaps/>
          <w:sz w:val="22"/>
          <w:szCs w:val="22"/>
        </w:rPr>
        <w:tab/>
      </w: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sz w:val="22"/>
          <w:szCs w:val="22"/>
        </w:rPr>
        <w:t>The above sections argued that although the roles for women in the Protestant Circle were increasingly narrowed by the late 1850s to providing services for other women and children, women’s activities often problematised the actualisation of this role. This section examines another aspect of Protestant womanhood, which accentuates the intricacies of women’s activities and further problematises the ‘domestication’ of women’s work. This is done through investigating how ‘housekeeping’ was articulated and performed by Protestant women. Housekeeping, or ‘Domestic Economy’, pertains to the activities of a woman to maintain a well-run household. While each society defines housekeeping differently, it often includes cleaning, cooking, sewing, managing servants and nurturing children.</w:t>
      </w:r>
      <w:r w:rsidRPr="00440B9F">
        <w:rPr>
          <w:rStyle w:val="FootnoteReference"/>
          <w:rFonts w:ascii="Palatino Linotype" w:hAnsi="Palatino Linotype" w:cs="Arial"/>
          <w:sz w:val="22"/>
          <w:szCs w:val="22"/>
        </w:rPr>
        <w:footnoteReference w:id="187"/>
      </w:r>
      <w:r w:rsidRPr="00440B9F">
        <w:rPr>
          <w:rFonts w:ascii="Palatino Linotype" w:hAnsi="Palatino Linotype" w:cs="Arial"/>
          <w:sz w:val="22"/>
          <w:szCs w:val="22"/>
        </w:rPr>
        <w:t xml:space="preserve"> This section outlines the Protestants’ definition of housekeeping and demonstrates that achieving the title of ‘housekeeper’ was a struggle amongst Protestant women, which emphasises the complexities of women’s roles within this community. </w:t>
      </w: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sz w:val="22"/>
          <w:szCs w:val="22"/>
        </w:rPr>
        <w:tab/>
        <w:t>The primary activity of a ‘housekeeper’ was to manage Protestant homes.</w:t>
      </w:r>
      <w:r w:rsidRPr="00440B9F">
        <w:rPr>
          <w:rStyle w:val="FootnoteReference"/>
          <w:rFonts w:ascii="Palatino Linotype" w:hAnsi="Palatino Linotype" w:cs="Arial"/>
          <w:sz w:val="22"/>
          <w:szCs w:val="22"/>
        </w:rPr>
        <w:footnoteReference w:id="188"/>
      </w:r>
      <w:r w:rsidRPr="00440B9F">
        <w:rPr>
          <w:rFonts w:ascii="Palatino Linotype" w:hAnsi="Palatino Linotype" w:cs="Arial"/>
          <w:sz w:val="22"/>
          <w:szCs w:val="22"/>
        </w:rPr>
        <w:t xml:space="preserve"> These households were composed of different units: married couples, married couples with children, single individuals, and boarding students. A housekeeper’s duty, as the primary matron of a household, was to arrange her house as to maintain the division of these units. In larger residencies, this was done through allocating each unit to a separate bedroom, with communal activities taking place in the dining room or parlour.</w:t>
      </w:r>
      <w:r w:rsidRPr="00440B9F">
        <w:rPr>
          <w:rStyle w:val="FootnoteReference"/>
          <w:rFonts w:ascii="Palatino Linotype" w:hAnsi="Palatino Linotype" w:cs="Arial"/>
          <w:sz w:val="22"/>
          <w:szCs w:val="22"/>
        </w:rPr>
        <w:footnoteReference w:id="189"/>
      </w:r>
      <w:r w:rsidRPr="00440B9F">
        <w:rPr>
          <w:rFonts w:ascii="Palatino Linotype" w:hAnsi="Palatino Linotype" w:cs="Arial"/>
          <w:sz w:val="22"/>
          <w:szCs w:val="22"/>
        </w:rPr>
        <w:t xml:space="preserve"> In the smaller, one or two-roomed houses on Mount Lebanon, space was divided through hanging curtains and flags.</w:t>
      </w:r>
      <w:r w:rsidRPr="00440B9F">
        <w:rPr>
          <w:rStyle w:val="FootnoteReference"/>
          <w:rFonts w:ascii="Palatino Linotype" w:hAnsi="Palatino Linotype" w:cs="Arial"/>
          <w:sz w:val="22"/>
          <w:szCs w:val="22"/>
        </w:rPr>
        <w:footnoteReference w:id="190"/>
      </w:r>
      <w:r w:rsidRPr="00440B9F">
        <w:rPr>
          <w:rFonts w:ascii="Palatino Linotype" w:hAnsi="Palatino Linotype" w:cs="Arial"/>
          <w:sz w:val="22"/>
          <w:szCs w:val="22"/>
        </w:rPr>
        <w:t xml:space="preserve"> The housekeeper also ensured that the spaces for non-Protestant servants were separated from that for the family.</w:t>
      </w:r>
      <w:r w:rsidRPr="00440B9F">
        <w:rPr>
          <w:rStyle w:val="FootnoteReference"/>
          <w:rFonts w:ascii="Palatino Linotype" w:hAnsi="Palatino Linotype" w:cs="Arial"/>
          <w:sz w:val="22"/>
          <w:szCs w:val="22"/>
        </w:rPr>
        <w:footnoteReference w:id="191"/>
      </w:r>
      <w:r w:rsidRPr="00440B9F">
        <w:rPr>
          <w:rFonts w:ascii="Palatino Linotype" w:hAnsi="Palatino Linotype" w:cs="Arial"/>
          <w:sz w:val="22"/>
          <w:szCs w:val="22"/>
        </w:rPr>
        <w:t xml:space="preserve"> The maintenance of these divisions was a difficult task considering the instability of Protestant households. The large households in Beirut were broken up and rearranged during the summer months, just as unexpected guests and illnesses required the shuffling of sleeping arrangements.</w:t>
      </w:r>
      <w:r w:rsidRPr="00440B9F">
        <w:rPr>
          <w:rStyle w:val="FootnoteReference"/>
          <w:rFonts w:ascii="Palatino Linotype" w:hAnsi="Palatino Linotype" w:cs="Arial"/>
          <w:sz w:val="22"/>
          <w:szCs w:val="22"/>
        </w:rPr>
        <w:footnoteReference w:id="192"/>
      </w:r>
      <w:r w:rsidRPr="00440B9F">
        <w:rPr>
          <w:rFonts w:ascii="Palatino Linotype" w:hAnsi="Palatino Linotype" w:cs="Arial"/>
          <w:sz w:val="22"/>
          <w:szCs w:val="22"/>
        </w:rPr>
        <w:t xml:space="preserve"> While this ‘mosaic’ defined missionary households, the sources are unclear if Syrian Protestant women also upheld this system of dividing families into different units.</w:t>
      </w:r>
      <w:r w:rsidRPr="00440B9F">
        <w:rPr>
          <w:rFonts w:ascii="Palatino Linotype" w:hAnsi="Palatino Linotype" w:cs="Arial"/>
          <w:sz w:val="22"/>
          <w:szCs w:val="22"/>
          <w:vertAlign w:val="superscript"/>
        </w:rPr>
        <w:footnoteReference w:id="193"/>
      </w:r>
      <w:r w:rsidRPr="00440B9F">
        <w:rPr>
          <w:rFonts w:ascii="Palatino Linotype" w:hAnsi="Palatino Linotype" w:cs="Arial"/>
          <w:sz w:val="22"/>
          <w:szCs w:val="22"/>
        </w:rPr>
        <w:t xml:space="preserve"> Gregory Wortabet explained that space in mid-nineteenth century Syrian households was often divided by gender, although his descriptions of Syrian Protestants homes were vague, making it difficult to determine if these households were divided by gender or into family units.</w:t>
      </w:r>
      <w:r w:rsidRPr="00440B9F">
        <w:rPr>
          <w:rFonts w:ascii="Palatino Linotype" w:hAnsi="Palatino Linotype" w:cs="Arial"/>
          <w:sz w:val="22"/>
          <w:szCs w:val="22"/>
          <w:vertAlign w:val="superscript"/>
        </w:rPr>
        <w:footnoteReference w:id="194"/>
      </w:r>
      <w:r w:rsidRPr="00440B9F">
        <w:rPr>
          <w:rFonts w:ascii="Palatino Linotype" w:hAnsi="Palatino Linotype" w:cs="Arial"/>
          <w:sz w:val="22"/>
          <w:szCs w:val="22"/>
        </w:rPr>
        <w:t xml:space="preserve"> One is left to wonder if Im Beshera allocated Eli Smith to a separate space within her house when he resided with the al-Haddads in 1827, or if he occupied a space amongst the other men in this family.</w:t>
      </w:r>
      <w:r w:rsidRPr="00440B9F">
        <w:rPr>
          <w:rFonts w:ascii="Palatino Linotype" w:hAnsi="Palatino Linotype" w:cs="Arial"/>
          <w:sz w:val="22"/>
          <w:szCs w:val="22"/>
          <w:vertAlign w:val="superscript"/>
        </w:rPr>
        <w:footnoteReference w:id="195"/>
      </w:r>
      <w:r w:rsidRPr="00440B9F">
        <w:rPr>
          <w:rFonts w:ascii="Palatino Linotype" w:hAnsi="Palatino Linotype" w:cs="Arial"/>
          <w:sz w:val="22"/>
          <w:szCs w:val="22"/>
        </w:rPr>
        <w:t xml:space="preserve"> </w:t>
      </w: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noProof/>
          <w:sz w:val="22"/>
          <w:szCs w:val="22"/>
        </w:rPr>
        <w:drawing>
          <wp:anchor distT="0" distB="0" distL="114300" distR="114300" simplePos="0" relativeHeight="251671552" behindDoc="0" locked="0" layoutInCell="1" allowOverlap="1">
            <wp:simplePos x="0" y="0"/>
            <wp:positionH relativeFrom="column">
              <wp:posOffset>2950845</wp:posOffset>
            </wp:positionH>
            <wp:positionV relativeFrom="margin">
              <wp:posOffset>2632710</wp:posOffset>
            </wp:positionV>
            <wp:extent cx="2374900" cy="2911475"/>
            <wp:effectExtent l="38100" t="19050" r="25400" b="22225"/>
            <wp:wrapSquare wrapText="bothSides"/>
            <wp:docPr id="4" name="Picture 2" descr="Rebecca Heba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becca Hebard.jpg"/>
                    <pic:cNvPicPr/>
                  </pic:nvPicPr>
                  <pic:blipFill>
                    <a:blip r:embed="rId9"/>
                    <a:stretch>
                      <a:fillRect/>
                    </a:stretch>
                  </pic:blipFill>
                  <pic:spPr>
                    <a:xfrm>
                      <a:off x="0" y="0"/>
                      <a:ext cx="2374900" cy="2911475"/>
                    </a:xfrm>
                    <a:prstGeom prst="rect">
                      <a:avLst/>
                    </a:prstGeom>
                    <a:noFill/>
                    <a:ln w="12700">
                      <a:solidFill>
                        <a:schemeClr val="tx1"/>
                      </a:solidFill>
                    </a:ln>
                  </pic:spPr>
                </pic:pic>
              </a:graphicData>
            </a:graphic>
          </wp:anchor>
        </w:drawing>
      </w:r>
      <w:r w:rsidRPr="00440B9F">
        <w:rPr>
          <w:rFonts w:ascii="Palatino Linotype" w:hAnsi="Palatino Linotype" w:cs="Arial"/>
          <w:sz w:val="22"/>
          <w:szCs w:val="22"/>
        </w:rPr>
        <w:tab/>
        <w:t>The ABCFM missionaries’ discussions of their shared households often emphasised the order maintained by the housekeeper and the friendships that developed amongst the household’s residents, particularly through the sharing of activities in communal spaces like the parlour.</w:t>
      </w:r>
      <w:r w:rsidRPr="00440B9F">
        <w:rPr>
          <w:rStyle w:val="FootnoteReference"/>
          <w:rFonts w:ascii="Palatino Linotype" w:hAnsi="Palatino Linotype" w:cs="Arial"/>
          <w:sz w:val="22"/>
          <w:szCs w:val="22"/>
        </w:rPr>
        <w:footnoteReference w:id="196"/>
      </w:r>
      <w:r w:rsidRPr="00440B9F">
        <w:rPr>
          <w:rFonts w:ascii="Palatino Linotype" w:hAnsi="Palatino Linotype" w:cs="Arial"/>
          <w:sz w:val="22"/>
          <w:szCs w:val="22"/>
        </w:rPr>
        <w:t xml:space="preserve"> Despite this emphasis on harmony, discord occasionally erupted. A discrepancy over who occupied the position of housekeeper affected the ‘sisterly’ relationship between Rebecca Williams (pictured) and Martha Dodge during their co-habitation from 1835 to 1838. Rebecca Williams joined the station as a single female missionary and originally lived with her friend Sarah Smith. Upon Sarah’s death, Rebecca resided with Martha Dodge, who was a recent widow. It appears that Martha originally functioned as the housekeeper within this joint-household, due to her being a mother, knowledge of Arabic, familiarity with Syrian culture and longer experience as a missionary. Martha also held an elevated position within the Circle because she possessed her late husband’s medical library and equipment.</w:t>
      </w:r>
      <w:r w:rsidRPr="00440B9F">
        <w:rPr>
          <w:rStyle w:val="FootnoteReference"/>
          <w:rFonts w:ascii="Palatino Linotype" w:hAnsi="Palatino Linotype" w:cs="Arial"/>
          <w:sz w:val="22"/>
          <w:szCs w:val="22"/>
        </w:rPr>
        <w:footnoteReference w:id="197"/>
      </w:r>
      <w:r w:rsidRPr="00440B9F">
        <w:rPr>
          <w:rFonts w:ascii="Palatino Linotype" w:hAnsi="Palatino Linotype" w:cs="Arial"/>
          <w:sz w:val="22"/>
          <w:szCs w:val="22"/>
        </w:rPr>
        <w:t xml:space="preserve"> After Rebecca’s marriage to Story Hebard in 1836 however, the ABCFM began labelling Rebecca as the housekeeper. After this point, both women referred to this arrangement as ‘my family’ or ‘my house’ in letters, for both perceived themselves to be the matron of the shared household.</w:t>
      </w:r>
      <w:r w:rsidRPr="00440B9F">
        <w:rPr>
          <w:rStyle w:val="FootnoteReference"/>
          <w:rFonts w:ascii="Palatino Linotype" w:hAnsi="Palatino Linotype" w:cs="Arial"/>
          <w:sz w:val="22"/>
          <w:szCs w:val="22"/>
        </w:rPr>
        <w:footnoteReference w:id="198"/>
      </w:r>
      <w:r w:rsidRPr="00440B9F">
        <w:rPr>
          <w:rFonts w:ascii="Palatino Linotype" w:hAnsi="Palatino Linotype" w:cs="Arial"/>
          <w:sz w:val="22"/>
          <w:szCs w:val="22"/>
        </w:rPr>
        <w:t xml:space="preserve"> This struggle ended only when Martha remarried and returned to the United States in 1838.</w:t>
      </w: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sz w:val="22"/>
          <w:szCs w:val="22"/>
        </w:rPr>
        <w:tab/>
        <w:t>In addition to managing well-ordered households, another duty of the housekeeper was to keep a clean home.</w:t>
      </w:r>
      <w:r w:rsidRPr="00440B9F">
        <w:rPr>
          <w:rStyle w:val="FootnoteReference"/>
          <w:rFonts w:ascii="Palatino Linotype" w:hAnsi="Palatino Linotype" w:cs="Arial"/>
          <w:sz w:val="22"/>
          <w:szCs w:val="22"/>
        </w:rPr>
        <w:footnoteReference w:id="199"/>
      </w:r>
      <w:r w:rsidRPr="00440B9F">
        <w:rPr>
          <w:rFonts w:ascii="Palatino Linotype" w:hAnsi="Palatino Linotype" w:cs="Arial"/>
          <w:sz w:val="22"/>
          <w:szCs w:val="22"/>
        </w:rPr>
        <w:t xml:space="preserve"> Cleaning was an unending chore in Syria, particularly in Beirut, where sand and dust was blown by the winds.</w:t>
      </w:r>
      <w:r w:rsidRPr="00440B9F">
        <w:rPr>
          <w:rStyle w:val="FootnoteReference"/>
          <w:rFonts w:ascii="Palatino Linotype" w:hAnsi="Palatino Linotype" w:cs="Arial"/>
          <w:sz w:val="22"/>
          <w:szCs w:val="22"/>
        </w:rPr>
        <w:footnoteReference w:id="200"/>
      </w:r>
      <w:r w:rsidRPr="00440B9F">
        <w:rPr>
          <w:rFonts w:ascii="Palatino Linotype" w:hAnsi="Palatino Linotype" w:cs="Arial"/>
          <w:sz w:val="22"/>
          <w:szCs w:val="22"/>
        </w:rPr>
        <w:t xml:space="preserve"> Fleas were another incessant battle, so that Hetty Smith complained that she was ‘obliged to have every room that is used cleaned every week… if I did not I would be overrun with fleas etc.’</w:t>
      </w:r>
      <w:r w:rsidRPr="00440B9F">
        <w:rPr>
          <w:rStyle w:val="FootnoteReference"/>
          <w:rFonts w:ascii="Palatino Linotype" w:hAnsi="Palatino Linotype" w:cs="Arial"/>
          <w:sz w:val="22"/>
          <w:szCs w:val="22"/>
        </w:rPr>
        <w:footnoteReference w:id="201"/>
      </w:r>
      <w:r w:rsidRPr="00440B9F">
        <w:rPr>
          <w:rFonts w:ascii="Palatino Linotype" w:hAnsi="Palatino Linotype" w:cs="Arial"/>
          <w:sz w:val="22"/>
          <w:szCs w:val="22"/>
        </w:rPr>
        <w:t xml:space="preserve"> The Protestants’ perceptions of health demanded that windows and doors be kept open to ensure the circulation of fresh air, which had the detrimental counter-affect of allowing in additional dust and bugs. People also carried dirt and fleas into houses. The DeForests promoted an axiom ‘[do not] be more careful to keep fleas out of your house than to let Arabs in’.</w:t>
      </w:r>
      <w:r w:rsidRPr="00440B9F">
        <w:rPr>
          <w:rStyle w:val="FootnoteReference"/>
          <w:rFonts w:ascii="Palatino Linotype" w:hAnsi="Palatino Linotype" w:cs="Arial"/>
          <w:sz w:val="22"/>
          <w:szCs w:val="22"/>
        </w:rPr>
        <w:footnoteReference w:id="202"/>
      </w:r>
      <w:r w:rsidRPr="00440B9F">
        <w:rPr>
          <w:rFonts w:ascii="Palatino Linotype" w:hAnsi="Palatino Linotype" w:cs="Arial"/>
          <w:sz w:val="22"/>
          <w:szCs w:val="22"/>
        </w:rPr>
        <w:t xml:space="preserve"> Asserting this anecdote was the DeForests’ response to some missionaries who believed that non-Protestant Syrians were dirty and as a result, limited their interactions with Syrians.</w:t>
      </w:r>
      <w:r w:rsidRPr="00440B9F">
        <w:rPr>
          <w:rStyle w:val="FootnoteReference"/>
          <w:rFonts w:ascii="Palatino Linotype" w:hAnsi="Palatino Linotype" w:cs="Arial"/>
          <w:sz w:val="22"/>
          <w:szCs w:val="22"/>
        </w:rPr>
        <w:footnoteReference w:id="203"/>
      </w: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sz w:val="22"/>
          <w:szCs w:val="22"/>
        </w:rPr>
        <w:tab/>
        <w:t>Cleaning formed part of the education taught to young Syrian Protestant women at the DeForests’ Female Seminary. Following breakfast, the girls at this school ‘washed their dishes, after which they arranged their school room’.</w:t>
      </w:r>
      <w:r w:rsidRPr="00440B9F">
        <w:rPr>
          <w:rStyle w:val="FootnoteReference"/>
          <w:rFonts w:ascii="Palatino Linotype" w:hAnsi="Palatino Linotype" w:cs="Arial"/>
          <w:sz w:val="22"/>
          <w:szCs w:val="22"/>
        </w:rPr>
        <w:footnoteReference w:id="204"/>
      </w:r>
      <w:r w:rsidRPr="00440B9F">
        <w:rPr>
          <w:rFonts w:ascii="Palatino Linotype" w:hAnsi="Palatino Linotype" w:cs="Arial"/>
          <w:sz w:val="22"/>
          <w:szCs w:val="22"/>
        </w:rPr>
        <w:t xml:space="preserve"> Similar to Catherine Beecher’s view on women’s education in the United States,</w:t>
      </w:r>
      <w:r w:rsidRPr="00440B9F">
        <w:rPr>
          <w:rStyle w:val="FootnoteReference"/>
          <w:rFonts w:ascii="Palatino Linotype" w:hAnsi="Palatino Linotype" w:cs="Arial"/>
          <w:sz w:val="22"/>
          <w:szCs w:val="22"/>
        </w:rPr>
        <w:footnoteReference w:id="205"/>
      </w:r>
      <w:r w:rsidRPr="00440B9F">
        <w:rPr>
          <w:rFonts w:ascii="Palatino Linotype" w:hAnsi="Palatino Linotype" w:cs="Arial"/>
          <w:sz w:val="22"/>
          <w:szCs w:val="22"/>
        </w:rPr>
        <w:t xml:space="preserve"> cleaning was taught alongside other academic subjects with the goal ‘to train up these girls to be industrious and neat housewives, not learned but no ignorant women, [but rather] sensible, practical characters’.</w:t>
      </w:r>
      <w:r w:rsidRPr="00440B9F">
        <w:rPr>
          <w:rStyle w:val="FootnoteReference"/>
          <w:rFonts w:ascii="Palatino Linotype" w:hAnsi="Palatino Linotype" w:cs="Arial"/>
          <w:sz w:val="22"/>
          <w:szCs w:val="22"/>
        </w:rPr>
        <w:footnoteReference w:id="206"/>
      </w:r>
      <w:r w:rsidRPr="00440B9F">
        <w:rPr>
          <w:rFonts w:ascii="Palatino Linotype" w:hAnsi="Palatino Linotype" w:cs="Arial"/>
          <w:sz w:val="22"/>
          <w:szCs w:val="22"/>
        </w:rPr>
        <w:t xml:space="preserve"> As cleaning does not appear in the curriculum for the male Seminary, it can be argued that cleaning was gendered as an attribute of Protestant womanhood.</w:t>
      </w:r>
      <w:r w:rsidRPr="00440B9F">
        <w:rPr>
          <w:rStyle w:val="FootnoteReference"/>
          <w:rFonts w:ascii="Palatino Linotype" w:hAnsi="Palatino Linotype" w:cs="Arial"/>
          <w:sz w:val="22"/>
          <w:szCs w:val="22"/>
        </w:rPr>
        <w:footnoteReference w:id="207"/>
      </w:r>
    </w:p>
    <w:p w:rsidR="00D42FBF" w:rsidRPr="00440B9F" w:rsidRDefault="00D42FBF" w:rsidP="001761FF">
      <w:pPr>
        <w:spacing w:line="360" w:lineRule="auto"/>
        <w:jc w:val="both"/>
        <w:rPr>
          <w:rFonts w:ascii="Palatino Linotype" w:hAnsi="Palatino Linotype" w:cs="Arial"/>
          <w:color w:val="000000"/>
          <w:sz w:val="22"/>
          <w:szCs w:val="22"/>
        </w:rPr>
      </w:pPr>
      <w:r w:rsidRPr="00440B9F">
        <w:rPr>
          <w:rFonts w:ascii="Palatino Linotype" w:hAnsi="Palatino Linotype" w:cs="Arial"/>
          <w:sz w:val="22"/>
          <w:szCs w:val="22"/>
        </w:rPr>
        <w:tab/>
        <w:t>Although most women possessed the knowledge of how and why to maintain a clean house, the duties of housekeeping did not require Protestant women to personally labour at cleaning. Eli Smith wrote that ‘[to] be a mere housekeeper and mistress of a missionary’s family…[his first wife Sarah] felt would be degrading to [her missionary] calling’.</w:t>
      </w:r>
      <w:r w:rsidRPr="00440B9F">
        <w:rPr>
          <w:rStyle w:val="FootnoteReference"/>
          <w:rFonts w:ascii="Palatino Linotype" w:hAnsi="Palatino Linotype" w:cs="Arial"/>
          <w:sz w:val="22"/>
          <w:szCs w:val="22"/>
        </w:rPr>
        <w:footnoteReference w:id="208"/>
      </w:r>
      <w:r w:rsidRPr="00440B9F">
        <w:rPr>
          <w:rFonts w:ascii="Palatino Linotype" w:hAnsi="Palatino Linotype" w:cs="Arial"/>
          <w:sz w:val="22"/>
          <w:szCs w:val="22"/>
        </w:rPr>
        <w:t xml:space="preserve"> Eli praised Sarah, not for her ability to wash and clean, but for her management of the servants who performed these duties. This efficiency granted Sarah the time to pursue her own missionary services, which, in 1835, was regarded as a commendable use of a married missionary woman’s time.</w:t>
      </w:r>
      <w:r w:rsidRPr="00440B9F">
        <w:rPr>
          <w:rStyle w:val="FootnoteReference"/>
          <w:rFonts w:ascii="Palatino Linotype" w:hAnsi="Palatino Linotype" w:cs="Arial"/>
          <w:sz w:val="22"/>
          <w:szCs w:val="22"/>
        </w:rPr>
        <w:footnoteReference w:id="209"/>
      </w:r>
      <w:r w:rsidRPr="00440B9F">
        <w:rPr>
          <w:rFonts w:ascii="Palatino Linotype" w:hAnsi="Palatino Linotype" w:cs="Arial"/>
          <w:sz w:val="22"/>
          <w:szCs w:val="22"/>
        </w:rPr>
        <w:t xml:space="preserve"> Although the roles for women changed by the time Hetty became Eli Smith’s third wife in 1847, Hetty also asserted that her position as a missionary wife and housekeeper did not require the strenuous labours of cleaning.</w:t>
      </w:r>
      <w:r w:rsidRPr="00440B9F">
        <w:rPr>
          <w:rStyle w:val="FootnoteReference"/>
          <w:rFonts w:ascii="Palatino Linotype" w:hAnsi="Palatino Linotype" w:cs="Arial"/>
          <w:color w:val="000000"/>
          <w:sz w:val="22"/>
          <w:szCs w:val="22"/>
        </w:rPr>
        <w:footnoteReference w:id="210"/>
      </w:r>
      <w:r w:rsidRPr="00440B9F">
        <w:rPr>
          <w:rFonts w:ascii="Palatino Linotype" w:hAnsi="Palatino Linotype" w:cs="Arial"/>
          <w:color w:val="000000"/>
          <w:sz w:val="22"/>
          <w:szCs w:val="22"/>
        </w:rPr>
        <w:t xml:space="preserve"> Rather, the actual labour of washing was performed by her ‘Arab servants’, who did the ‘washing outdoors…on the ground, heating water and boiling clothes in a “dish” over a fire of sticks’.</w:t>
      </w:r>
      <w:r w:rsidRPr="00440B9F">
        <w:rPr>
          <w:rStyle w:val="FootnoteReference"/>
          <w:rFonts w:ascii="Palatino Linotype" w:hAnsi="Palatino Linotype" w:cs="Arial"/>
          <w:color w:val="000000"/>
          <w:sz w:val="22"/>
          <w:szCs w:val="22"/>
        </w:rPr>
        <w:footnoteReference w:id="211"/>
      </w:r>
      <w:r w:rsidRPr="00440B9F">
        <w:rPr>
          <w:rFonts w:ascii="Palatino Linotype" w:hAnsi="Palatino Linotype" w:cs="Arial"/>
          <w:color w:val="000000"/>
          <w:sz w:val="22"/>
          <w:szCs w:val="22"/>
        </w:rPr>
        <w:t xml:space="preserve"> Hetty justified the employment of servant-washers with two reasons: </w:t>
      </w:r>
    </w:p>
    <w:p w:rsidR="00D42FBF" w:rsidRDefault="00D42FBF" w:rsidP="001761FF">
      <w:pPr>
        <w:ind w:left="720" w:right="720"/>
        <w:jc w:val="both"/>
        <w:rPr>
          <w:rFonts w:ascii="Palatino Linotype" w:hAnsi="Palatino Linotype" w:cs="Arial"/>
          <w:color w:val="000000"/>
        </w:rPr>
      </w:pPr>
      <w:r w:rsidRPr="00440B9F">
        <w:rPr>
          <w:rFonts w:ascii="Palatino Linotype" w:hAnsi="Palatino Linotype" w:cs="Arial"/>
          <w:color w:val="000000"/>
          <w:sz w:val="22"/>
          <w:szCs w:val="22"/>
        </w:rPr>
        <w:t>In the first place we ladies cannot in this climate work as we used to do in New England. And secondly, there is a great deal to be done. Look at this family- we have three children. No one would expect me to do the cooking, washing or ironing under the burning sun of Syria.</w:t>
      </w:r>
      <w:r w:rsidRPr="00440B9F">
        <w:rPr>
          <w:rStyle w:val="FootnoteReference"/>
          <w:rFonts w:ascii="Palatino Linotype" w:hAnsi="Palatino Linotype" w:cs="Arial"/>
          <w:color w:val="000000"/>
          <w:sz w:val="22"/>
          <w:szCs w:val="22"/>
        </w:rPr>
        <w:footnoteReference w:id="212"/>
      </w:r>
    </w:p>
    <w:p w:rsidR="00D42FBF" w:rsidRPr="00440B9F" w:rsidRDefault="00D42FBF" w:rsidP="001761FF">
      <w:pPr>
        <w:ind w:left="720" w:right="720"/>
        <w:jc w:val="both"/>
        <w:rPr>
          <w:rFonts w:ascii="Palatino Linotype" w:hAnsi="Palatino Linotype" w:cs="Arial"/>
          <w:color w:val="000000"/>
          <w:sz w:val="22"/>
          <w:szCs w:val="22"/>
        </w:rPr>
      </w:pPr>
    </w:p>
    <w:p w:rsidR="00D42FBF" w:rsidRPr="00440B9F" w:rsidRDefault="00D42FBF" w:rsidP="001761FF">
      <w:pPr>
        <w:spacing w:line="360" w:lineRule="auto"/>
        <w:jc w:val="both"/>
        <w:rPr>
          <w:rFonts w:ascii="Palatino Linotype" w:hAnsi="Palatino Linotype" w:cs="Arial"/>
          <w:color w:val="000000"/>
          <w:sz w:val="22"/>
          <w:szCs w:val="22"/>
        </w:rPr>
      </w:pPr>
      <w:r w:rsidRPr="00440B9F">
        <w:rPr>
          <w:rFonts w:ascii="Palatino Linotype" w:hAnsi="Palatino Linotype" w:cs="Arial"/>
          <w:color w:val="000000"/>
          <w:sz w:val="22"/>
          <w:szCs w:val="22"/>
        </w:rPr>
        <w:t>These comments suggest that the time-consuming and intense labour of cleaning was raced and classed as a form of work for Syrian servants.</w:t>
      </w:r>
      <w:r w:rsidRPr="00440B9F">
        <w:rPr>
          <w:rStyle w:val="FootnoteReference"/>
          <w:rFonts w:ascii="Palatino Linotype" w:hAnsi="Palatino Linotype" w:cs="Arial"/>
          <w:color w:val="000000"/>
          <w:sz w:val="22"/>
          <w:szCs w:val="22"/>
        </w:rPr>
        <w:footnoteReference w:id="213"/>
      </w:r>
      <w:r w:rsidRPr="00440B9F">
        <w:rPr>
          <w:rFonts w:ascii="Palatino Linotype" w:hAnsi="Palatino Linotype" w:cs="Arial"/>
          <w:color w:val="000000"/>
          <w:sz w:val="22"/>
          <w:szCs w:val="22"/>
        </w:rPr>
        <w:t xml:space="preserve"> </w:t>
      </w:r>
    </w:p>
    <w:p w:rsidR="00D42FBF" w:rsidRPr="00440B9F" w:rsidRDefault="00D42FBF" w:rsidP="001761FF">
      <w:pPr>
        <w:spacing w:line="360" w:lineRule="auto"/>
        <w:jc w:val="both"/>
        <w:rPr>
          <w:rFonts w:ascii="Palatino Linotype" w:hAnsi="Palatino Linotype" w:cs="Arial"/>
          <w:color w:val="000000"/>
          <w:sz w:val="22"/>
          <w:szCs w:val="22"/>
        </w:rPr>
      </w:pPr>
      <w:r w:rsidRPr="00440B9F">
        <w:rPr>
          <w:rFonts w:ascii="Palatino Linotype" w:hAnsi="Palatino Linotype" w:cs="Arial"/>
          <w:color w:val="000000"/>
          <w:sz w:val="22"/>
          <w:szCs w:val="22"/>
        </w:rPr>
        <w:tab/>
        <w:t>It is unclear how Syrian Protestant women performed their cleaning responsibilities in their own households even though many were educated in the Domestic Economy taught at the ABCFM schools. For example, although the missionaries used American/European style beds and mattresses, it is unclear if Syrian Protestants’ slept on these or Syrian-style of bedding, for both types were available in the region at this time.</w:t>
      </w:r>
      <w:r w:rsidRPr="00440B9F">
        <w:rPr>
          <w:rStyle w:val="FootnoteReference"/>
          <w:rFonts w:ascii="Palatino Linotype" w:hAnsi="Palatino Linotype" w:cs="Arial"/>
          <w:color w:val="000000"/>
          <w:sz w:val="22"/>
          <w:szCs w:val="22"/>
        </w:rPr>
        <w:footnoteReference w:id="214"/>
      </w:r>
      <w:r w:rsidRPr="00440B9F">
        <w:rPr>
          <w:rFonts w:ascii="Palatino Linotype" w:hAnsi="Palatino Linotype" w:cs="Arial"/>
          <w:color w:val="000000"/>
          <w:sz w:val="22"/>
          <w:szCs w:val="22"/>
        </w:rPr>
        <w:t xml:space="preserve"> A woman’s choice of bedroom furniture was important for it affected the amount and type of labour needed to clean and prepare the bedroom. American bedding demanded less daily labour, for the mattress remained upon the bed-stand, while the covering blankets were aired out daily and the sheets cleaned less frequently. However, work was needed to instruct Syrian servants on how to clean and prepare this type of bedding.</w:t>
      </w:r>
      <w:r w:rsidRPr="00440B9F">
        <w:rPr>
          <w:rStyle w:val="FootnoteReference"/>
          <w:rFonts w:ascii="Palatino Linotype" w:hAnsi="Palatino Linotype" w:cs="Arial"/>
          <w:color w:val="000000"/>
          <w:sz w:val="22"/>
          <w:szCs w:val="22"/>
        </w:rPr>
        <w:footnoteReference w:id="215"/>
      </w:r>
      <w:r w:rsidRPr="00440B9F">
        <w:rPr>
          <w:rFonts w:ascii="Palatino Linotype" w:hAnsi="Palatino Linotype" w:cs="Arial"/>
          <w:color w:val="000000"/>
          <w:sz w:val="22"/>
          <w:szCs w:val="22"/>
        </w:rPr>
        <w:t xml:space="preserve"> In contrast, Syrian bedding required the daily cycle of laying-out and storing both the mattresses and bed coverings.</w:t>
      </w:r>
      <w:r w:rsidRPr="00440B9F">
        <w:rPr>
          <w:rStyle w:val="FootnoteReference"/>
          <w:rFonts w:ascii="Palatino Linotype" w:hAnsi="Palatino Linotype" w:cs="Arial"/>
          <w:color w:val="000000"/>
          <w:sz w:val="22"/>
          <w:szCs w:val="22"/>
        </w:rPr>
        <w:footnoteReference w:id="216"/>
      </w:r>
      <w:r w:rsidRPr="00440B9F">
        <w:rPr>
          <w:rFonts w:ascii="Palatino Linotype" w:hAnsi="Palatino Linotype" w:cs="Arial"/>
          <w:color w:val="000000"/>
          <w:sz w:val="22"/>
          <w:szCs w:val="22"/>
        </w:rPr>
        <w:t xml:space="preserve"> Moreover, the sources do not provide enough information to determine if Syrian Protestant women hired servants to perform such chores, although there is evidence that nurses were employed to care for young children.</w:t>
      </w:r>
      <w:r w:rsidRPr="00440B9F">
        <w:rPr>
          <w:rStyle w:val="FootnoteReference"/>
          <w:rFonts w:ascii="Palatino Linotype" w:hAnsi="Palatino Linotype" w:cs="Arial"/>
          <w:color w:val="000000"/>
          <w:sz w:val="22"/>
          <w:szCs w:val="22"/>
        </w:rPr>
        <w:footnoteReference w:id="217"/>
      </w:r>
      <w:r w:rsidRPr="00440B9F">
        <w:rPr>
          <w:rFonts w:ascii="Palatino Linotype" w:hAnsi="Palatino Linotype" w:cs="Arial"/>
          <w:color w:val="000000"/>
          <w:sz w:val="22"/>
          <w:szCs w:val="22"/>
        </w:rPr>
        <w:t xml:space="preserve"> It must be remembered that many Syrian Protestant women were servants in missionary households and would have assisted missionary women in preparing their American-style beds. These, however, would have been too expensive for the servants to purchase for their own use.</w:t>
      </w:r>
      <w:r w:rsidRPr="00440B9F">
        <w:rPr>
          <w:rStyle w:val="FootnoteReference"/>
          <w:rFonts w:ascii="Palatino Linotype" w:hAnsi="Palatino Linotype" w:cs="Arial"/>
          <w:color w:val="000000"/>
          <w:sz w:val="22"/>
          <w:szCs w:val="22"/>
        </w:rPr>
        <w:footnoteReference w:id="218"/>
      </w:r>
      <w:r w:rsidRPr="00440B9F">
        <w:rPr>
          <w:rFonts w:ascii="Palatino Linotype" w:hAnsi="Palatino Linotype" w:cs="Arial"/>
          <w:color w:val="000000"/>
          <w:sz w:val="22"/>
          <w:szCs w:val="22"/>
        </w:rPr>
        <w:t xml:space="preserve"> </w:t>
      </w:r>
    </w:p>
    <w:p w:rsidR="00D42FBF" w:rsidRPr="00440B9F" w:rsidRDefault="00D42FBF" w:rsidP="001761FF">
      <w:pPr>
        <w:spacing w:line="360" w:lineRule="auto"/>
        <w:jc w:val="both"/>
        <w:rPr>
          <w:rFonts w:ascii="Palatino Linotype" w:hAnsi="Palatino Linotype" w:cs="Arial"/>
          <w:color w:val="000000"/>
          <w:sz w:val="22"/>
          <w:szCs w:val="22"/>
        </w:rPr>
      </w:pPr>
      <w:r w:rsidRPr="00440B9F">
        <w:rPr>
          <w:rFonts w:ascii="Palatino Linotype" w:hAnsi="Palatino Linotype" w:cs="Arial"/>
          <w:color w:val="000000"/>
          <w:sz w:val="22"/>
          <w:szCs w:val="22"/>
        </w:rPr>
        <w:tab/>
        <w:t>Feeding the members of Protestant households was another responsibility of the housekeeper. Similar to cleaning, the actual labour of daily cooking was not conducted by Protestant women. Rather, the responsibility of a housekeeper was to ensure that all aspects of the food preparation were properly performed by servants, through ordering the day’s menu, sending servants to the market and supervising the cooking.</w:t>
      </w:r>
      <w:r w:rsidRPr="00440B9F">
        <w:rPr>
          <w:rStyle w:val="FootnoteReference"/>
          <w:rFonts w:ascii="Palatino Linotype" w:hAnsi="Palatino Linotype" w:cs="Arial"/>
          <w:color w:val="000000"/>
          <w:sz w:val="22"/>
          <w:szCs w:val="22"/>
        </w:rPr>
        <w:footnoteReference w:id="219"/>
      </w:r>
      <w:r w:rsidRPr="00440B9F">
        <w:rPr>
          <w:rFonts w:ascii="Palatino Linotype" w:hAnsi="Palatino Linotype" w:cs="Arial"/>
          <w:color w:val="000000"/>
          <w:sz w:val="22"/>
          <w:szCs w:val="22"/>
        </w:rPr>
        <w:t xml:space="preserve"> Interestingly, the ABCFM missionaries employed men as cooks.</w:t>
      </w:r>
      <w:r w:rsidRPr="00440B9F">
        <w:rPr>
          <w:rStyle w:val="FootnoteReference"/>
          <w:rFonts w:ascii="Palatino Linotype" w:hAnsi="Palatino Linotype" w:cs="Arial"/>
          <w:color w:val="000000"/>
          <w:sz w:val="22"/>
          <w:szCs w:val="22"/>
        </w:rPr>
        <w:footnoteReference w:id="220"/>
      </w:r>
      <w:r w:rsidRPr="00440B9F">
        <w:rPr>
          <w:rFonts w:ascii="Palatino Linotype" w:hAnsi="Palatino Linotype" w:cs="Arial"/>
          <w:color w:val="000000"/>
          <w:sz w:val="22"/>
          <w:szCs w:val="22"/>
        </w:rPr>
        <w:t xml:space="preserve"> It is unclear why male and not female cooks were hired,</w:t>
      </w:r>
      <w:r w:rsidRPr="00440B9F">
        <w:rPr>
          <w:rStyle w:val="FootnoteReference"/>
          <w:rFonts w:ascii="Palatino Linotype" w:hAnsi="Palatino Linotype" w:cs="Arial"/>
          <w:color w:val="000000"/>
          <w:sz w:val="22"/>
          <w:szCs w:val="22"/>
        </w:rPr>
        <w:footnoteReference w:id="221"/>
      </w:r>
      <w:r w:rsidRPr="00440B9F">
        <w:rPr>
          <w:rFonts w:ascii="Palatino Linotype" w:hAnsi="Palatino Linotype" w:cs="Arial"/>
          <w:color w:val="000000"/>
          <w:sz w:val="22"/>
          <w:szCs w:val="22"/>
        </w:rPr>
        <w:t xml:space="preserve"> although it was the cook’s ability to prepare the hybrid cuisine demanded by Protestant housekeepers, not their gender, that kept them employed. This cuisine was a fusion of American dishes made with Syrian ingredients, so that meals included ‘</w:t>
      </w:r>
      <w:r w:rsidRPr="00440B9F">
        <w:rPr>
          <w:rFonts w:ascii="Palatino Linotype" w:hAnsi="Palatino Linotype" w:cs="Arial"/>
          <w:sz w:val="22"/>
          <w:szCs w:val="22"/>
        </w:rPr>
        <w:t>[mutton], string beans (or lubia), tomato (or bandora), rice and potatoes nicely mashed’, ‘</w:t>
      </w:r>
      <w:r w:rsidRPr="00440B9F">
        <w:rPr>
          <w:rFonts w:ascii="Palatino Linotype" w:hAnsi="Palatino Linotype" w:cs="Arial"/>
          <w:color w:val="000000"/>
          <w:sz w:val="22"/>
          <w:szCs w:val="22"/>
        </w:rPr>
        <w:t>a soup, a very nice piece of roast beef with vegetables…[or] calf’s (sheep) foot jelly and other preserves’.</w:t>
      </w:r>
      <w:r w:rsidRPr="00440B9F">
        <w:rPr>
          <w:rStyle w:val="FootnoteReference"/>
          <w:rFonts w:ascii="Palatino Linotype" w:hAnsi="Palatino Linotype" w:cs="Arial"/>
          <w:color w:val="000000"/>
          <w:sz w:val="22"/>
          <w:szCs w:val="22"/>
        </w:rPr>
        <w:footnoteReference w:id="222"/>
      </w:r>
      <w:r w:rsidRPr="00440B9F">
        <w:rPr>
          <w:rFonts w:ascii="Palatino Linotype" w:hAnsi="Palatino Linotype" w:cs="Arial"/>
          <w:color w:val="000000"/>
          <w:sz w:val="22"/>
          <w:szCs w:val="22"/>
        </w:rPr>
        <w:t xml:space="preserve"> Hetty Smith repeatedly asked her sisters to send recipes for popular American dishes that could be made with Syrian ingredients.</w:t>
      </w:r>
      <w:r w:rsidRPr="00440B9F">
        <w:rPr>
          <w:rStyle w:val="FootnoteReference"/>
          <w:rFonts w:ascii="Palatino Linotype" w:hAnsi="Palatino Linotype" w:cs="Arial"/>
          <w:color w:val="000000"/>
          <w:sz w:val="22"/>
          <w:szCs w:val="22"/>
        </w:rPr>
        <w:footnoteReference w:id="223"/>
      </w:r>
      <w:r w:rsidRPr="00440B9F">
        <w:rPr>
          <w:rFonts w:ascii="Palatino Linotype" w:hAnsi="Palatino Linotype" w:cs="Arial"/>
          <w:color w:val="000000"/>
          <w:sz w:val="22"/>
          <w:szCs w:val="22"/>
        </w:rPr>
        <w:t xml:space="preserve"> Locally grown fruit and vegetables were consumed, although with caution, for eating unripe fruits was seen as a cause of illness.</w:t>
      </w:r>
      <w:r w:rsidRPr="00440B9F">
        <w:rPr>
          <w:rStyle w:val="FootnoteReference"/>
          <w:rFonts w:ascii="Palatino Linotype" w:hAnsi="Palatino Linotype" w:cs="Arial"/>
          <w:color w:val="000000"/>
          <w:sz w:val="22"/>
          <w:szCs w:val="22"/>
        </w:rPr>
        <w:footnoteReference w:id="224"/>
      </w:r>
      <w:r w:rsidRPr="00440B9F">
        <w:rPr>
          <w:rFonts w:ascii="Palatino Linotype" w:hAnsi="Palatino Linotype" w:cs="Arial"/>
          <w:color w:val="000000"/>
          <w:sz w:val="22"/>
          <w:szCs w:val="22"/>
        </w:rPr>
        <w:t xml:space="preserve"> Traditional Syrian dishes such as </w:t>
      </w:r>
      <w:r w:rsidRPr="00440B9F">
        <w:rPr>
          <w:rFonts w:ascii="Palatino Linotype" w:hAnsi="Palatino Linotype" w:cs="Arial"/>
          <w:i/>
          <w:color w:val="000000"/>
          <w:sz w:val="22"/>
          <w:szCs w:val="22"/>
        </w:rPr>
        <w:t>kibbeh</w:t>
      </w:r>
      <w:r w:rsidRPr="00440B9F">
        <w:rPr>
          <w:rFonts w:ascii="Palatino Linotype" w:hAnsi="Palatino Linotype" w:cs="Arial"/>
          <w:color w:val="000000"/>
          <w:sz w:val="22"/>
          <w:szCs w:val="22"/>
        </w:rPr>
        <w:t xml:space="preserve">, </w:t>
      </w:r>
      <w:r w:rsidRPr="00440B9F">
        <w:rPr>
          <w:rFonts w:ascii="Palatino Linotype" w:hAnsi="Palatino Linotype" w:cs="Arial"/>
          <w:i/>
          <w:color w:val="000000"/>
          <w:sz w:val="22"/>
          <w:szCs w:val="22"/>
        </w:rPr>
        <w:t>labneh</w:t>
      </w:r>
      <w:r w:rsidRPr="00440B9F">
        <w:rPr>
          <w:rFonts w:ascii="Palatino Linotype" w:hAnsi="Palatino Linotype" w:cs="Arial"/>
          <w:color w:val="000000"/>
          <w:sz w:val="22"/>
          <w:szCs w:val="22"/>
        </w:rPr>
        <w:t xml:space="preserve">, and </w:t>
      </w:r>
      <w:r w:rsidRPr="00440B9F">
        <w:rPr>
          <w:rFonts w:ascii="Palatino Linotype" w:hAnsi="Palatino Linotype" w:cs="Arial"/>
          <w:bCs/>
          <w:i/>
          <w:color w:val="000000"/>
          <w:sz w:val="22"/>
          <w:szCs w:val="22"/>
        </w:rPr>
        <w:t>fooliyyah</w:t>
      </w:r>
      <w:r w:rsidRPr="00440B9F">
        <w:rPr>
          <w:rFonts w:ascii="Palatino Linotype" w:hAnsi="Palatino Linotype" w:cs="Arial"/>
          <w:color w:val="000000"/>
          <w:sz w:val="22"/>
          <w:szCs w:val="22"/>
        </w:rPr>
        <w:t xml:space="preserve"> were also eaten by the ABCFM missionaries.</w:t>
      </w:r>
      <w:r w:rsidRPr="00440B9F">
        <w:rPr>
          <w:rStyle w:val="FootnoteReference"/>
          <w:rFonts w:ascii="Palatino Linotype" w:hAnsi="Palatino Linotype" w:cs="Arial"/>
          <w:color w:val="000000"/>
          <w:sz w:val="22"/>
          <w:szCs w:val="22"/>
        </w:rPr>
        <w:footnoteReference w:id="225"/>
      </w:r>
      <w:r w:rsidRPr="00440B9F">
        <w:rPr>
          <w:rFonts w:ascii="Palatino Linotype" w:hAnsi="Palatino Linotype" w:cs="Arial"/>
          <w:color w:val="000000"/>
          <w:sz w:val="22"/>
          <w:szCs w:val="22"/>
        </w:rPr>
        <w:t xml:space="preserve"> </w:t>
      </w:r>
    </w:p>
    <w:p w:rsidR="00D42FBF" w:rsidRPr="00440B9F" w:rsidRDefault="00D42FBF" w:rsidP="001761FF">
      <w:pPr>
        <w:spacing w:line="360" w:lineRule="auto"/>
        <w:jc w:val="both"/>
        <w:rPr>
          <w:rFonts w:ascii="Palatino Linotype" w:hAnsi="Palatino Linotype" w:cs="Arial"/>
          <w:color w:val="000000"/>
          <w:sz w:val="22"/>
          <w:szCs w:val="22"/>
        </w:rPr>
      </w:pPr>
      <w:r w:rsidRPr="00440B9F">
        <w:rPr>
          <w:rFonts w:ascii="Palatino Linotype" w:hAnsi="Palatino Linotype" w:cs="Arial"/>
          <w:color w:val="000000"/>
          <w:sz w:val="22"/>
          <w:szCs w:val="22"/>
        </w:rPr>
        <w:tab/>
        <w:t xml:space="preserve">An important responsibility of the housekeeper was to ensure that their male cooks avoided certain ‘unhealthy’ foods. In addition to unripe fruit, ‘Arab butter’, </w:t>
      </w:r>
      <w:r w:rsidRPr="00440B9F">
        <w:rPr>
          <w:rFonts w:ascii="Palatino Linotype" w:hAnsi="Palatino Linotype" w:cs="Arial"/>
          <w:i/>
          <w:color w:val="000000"/>
          <w:sz w:val="22"/>
          <w:szCs w:val="22"/>
        </w:rPr>
        <w:t>s</w:t>
      </w:r>
      <w:r w:rsidRPr="00440B9F">
        <w:rPr>
          <w:rFonts w:ascii="Palatino Linotype" w:hAnsi="Palatino Linotype"/>
          <w:i/>
          <w:sz w:val="22"/>
          <w:szCs w:val="22"/>
        </w:rPr>
        <w:t>amneh</w:t>
      </w:r>
      <w:r w:rsidRPr="00440B9F">
        <w:rPr>
          <w:rFonts w:ascii="Palatino Linotype" w:hAnsi="Palatino Linotype"/>
          <w:sz w:val="22"/>
          <w:szCs w:val="22"/>
        </w:rPr>
        <w:t>,</w:t>
      </w:r>
      <w:r w:rsidRPr="00440B9F">
        <w:rPr>
          <w:rFonts w:ascii="Palatino Linotype" w:hAnsi="Palatino Linotype" w:cs="Arial"/>
          <w:color w:val="000000"/>
          <w:sz w:val="22"/>
          <w:szCs w:val="22"/>
        </w:rPr>
        <w:t xml:space="preserve"> was regarded as dirty and was avoided by the ABCFM missionaries.</w:t>
      </w:r>
      <w:r w:rsidRPr="00440B9F">
        <w:rPr>
          <w:rStyle w:val="FootnoteReference"/>
          <w:rFonts w:ascii="Palatino Linotype" w:hAnsi="Palatino Linotype" w:cs="Arial"/>
          <w:color w:val="000000"/>
          <w:sz w:val="22"/>
          <w:szCs w:val="22"/>
        </w:rPr>
        <w:footnoteReference w:id="226"/>
      </w:r>
      <w:r w:rsidRPr="00440B9F">
        <w:rPr>
          <w:rFonts w:ascii="Palatino Linotype" w:hAnsi="Palatino Linotype" w:cs="Arial"/>
          <w:color w:val="000000"/>
          <w:sz w:val="22"/>
          <w:szCs w:val="22"/>
        </w:rPr>
        <w:t xml:space="preserve"> In its place, the fat from the tail of sheep was used as lard in baking.</w:t>
      </w:r>
      <w:r w:rsidRPr="00440B9F">
        <w:rPr>
          <w:rStyle w:val="FootnoteReference"/>
          <w:rFonts w:ascii="Palatino Linotype" w:hAnsi="Palatino Linotype" w:cs="Arial"/>
          <w:color w:val="000000"/>
          <w:sz w:val="22"/>
          <w:szCs w:val="22"/>
        </w:rPr>
        <w:footnoteReference w:id="227"/>
      </w:r>
      <w:r w:rsidRPr="00440B9F">
        <w:rPr>
          <w:rFonts w:ascii="Palatino Linotype" w:hAnsi="Palatino Linotype" w:cs="Arial"/>
          <w:color w:val="000000"/>
          <w:sz w:val="22"/>
          <w:szCs w:val="22"/>
        </w:rPr>
        <w:t xml:space="preserve"> Another (more costly) alterative was to use American-style, churned butter, which was either shipped from the United States or churned from cream by cooks who were taught the American method of butter making.</w:t>
      </w:r>
      <w:r w:rsidRPr="00440B9F">
        <w:rPr>
          <w:rStyle w:val="FootnoteReference"/>
          <w:rFonts w:ascii="Palatino Linotype" w:hAnsi="Palatino Linotype" w:cs="Arial"/>
          <w:color w:val="000000"/>
          <w:sz w:val="22"/>
          <w:szCs w:val="22"/>
        </w:rPr>
        <w:footnoteReference w:id="228"/>
      </w:r>
      <w:r w:rsidRPr="00440B9F">
        <w:rPr>
          <w:rFonts w:ascii="Palatino Linotype" w:hAnsi="Palatino Linotype" w:cs="Arial"/>
          <w:color w:val="000000"/>
          <w:sz w:val="22"/>
          <w:szCs w:val="22"/>
        </w:rPr>
        <w:t xml:space="preserve"> </w:t>
      </w:r>
      <w:r w:rsidRPr="00440B9F">
        <w:rPr>
          <w:rFonts w:ascii="Palatino Linotype" w:hAnsi="Palatino Linotype"/>
          <w:sz w:val="22"/>
          <w:szCs w:val="22"/>
        </w:rPr>
        <w:t>Once</w:t>
      </w:r>
      <w:r w:rsidRPr="00440B9F">
        <w:rPr>
          <w:rFonts w:ascii="Palatino Linotype" w:hAnsi="Palatino Linotype" w:cs="Arial"/>
          <w:color w:val="000000"/>
          <w:sz w:val="22"/>
          <w:szCs w:val="22"/>
        </w:rPr>
        <w:t xml:space="preserve"> properly trained to avoid </w:t>
      </w:r>
      <w:r w:rsidRPr="00440B9F">
        <w:rPr>
          <w:rFonts w:ascii="Palatino Linotype" w:hAnsi="Palatino Linotype" w:cs="Arial"/>
          <w:i/>
          <w:color w:val="000000"/>
          <w:sz w:val="22"/>
          <w:szCs w:val="22"/>
        </w:rPr>
        <w:t>samneh</w:t>
      </w:r>
      <w:r w:rsidRPr="00440B9F">
        <w:rPr>
          <w:rFonts w:ascii="Palatino Linotype" w:hAnsi="Palatino Linotype" w:cs="Arial"/>
          <w:color w:val="000000"/>
          <w:sz w:val="22"/>
          <w:szCs w:val="22"/>
        </w:rPr>
        <w:t xml:space="preserve"> and to churn butter, the cook could be left on his own. However, if the cook was new or ‘distrustful’, the housekeeper had to frequently run from the family space to the kitchen in order to supervise food preparation.</w:t>
      </w:r>
      <w:r w:rsidRPr="00440B9F">
        <w:rPr>
          <w:rStyle w:val="FootnoteReference"/>
          <w:rFonts w:ascii="Palatino Linotype" w:hAnsi="Palatino Linotype" w:cs="Arial"/>
          <w:color w:val="000000"/>
          <w:sz w:val="22"/>
          <w:szCs w:val="22"/>
        </w:rPr>
        <w:footnoteReference w:id="229"/>
      </w:r>
      <w:r w:rsidRPr="00440B9F">
        <w:rPr>
          <w:rFonts w:ascii="Palatino Linotype" w:hAnsi="Palatino Linotype" w:cs="Arial"/>
          <w:color w:val="000000"/>
          <w:sz w:val="22"/>
          <w:szCs w:val="22"/>
        </w:rPr>
        <w:t xml:space="preserve"> </w:t>
      </w:r>
    </w:p>
    <w:p w:rsidR="00D42FBF" w:rsidRPr="00440B9F" w:rsidRDefault="00D42FBF" w:rsidP="001761FF">
      <w:pPr>
        <w:spacing w:line="360" w:lineRule="auto"/>
        <w:jc w:val="both"/>
        <w:rPr>
          <w:rFonts w:ascii="Palatino Linotype" w:hAnsi="Palatino Linotype" w:cs="Arial"/>
          <w:color w:val="000000"/>
          <w:sz w:val="22"/>
          <w:szCs w:val="22"/>
        </w:rPr>
      </w:pPr>
      <w:r w:rsidRPr="00440B9F">
        <w:rPr>
          <w:rFonts w:ascii="Palatino Linotype" w:hAnsi="Palatino Linotype" w:cs="Arial"/>
          <w:color w:val="000000"/>
          <w:sz w:val="22"/>
          <w:szCs w:val="22"/>
        </w:rPr>
        <w:tab/>
        <w:t>Although male cooks prepared most of the food consumed within households, certain foods were baked by Protestant women. Missionary women baked cakes and other puddings, such as sponge cake and rennet-goat’s milk custard for special occasions.</w:t>
      </w:r>
      <w:r w:rsidRPr="00440B9F">
        <w:rPr>
          <w:rStyle w:val="FootnoteReference"/>
          <w:rFonts w:ascii="Palatino Linotype" w:hAnsi="Palatino Linotype" w:cs="Arial"/>
          <w:color w:val="000000"/>
          <w:sz w:val="22"/>
          <w:szCs w:val="22"/>
        </w:rPr>
        <w:footnoteReference w:id="230"/>
      </w:r>
      <w:r w:rsidRPr="00440B9F">
        <w:rPr>
          <w:rFonts w:ascii="Palatino Linotype" w:hAnsi="Palatino Linotype" w:cs="Arial"/>
          <w:color w:val="000000"/>
          <w:sz w:val="22"/>
          <w:szCs w:val="22"/>
        </w:rPr>
        <w:t xml:space="preserve"> Elizabeth Hurter was known for her ‘real New England breakfast of slap-jacks’, while Abby Bliss ‘p</w:t>
      </w:r>
      <w:r w:rsidRPr="00440B9F">
        <w:rPr>
          <w:rFonts w:ascii="Palatino Linotype" w:hAnsi="Palatino Linotype"/>
          <w:sz w:val="22"/>
          <w:szCs w:val="22"/>
        </w:rPr>
        <w:t>repare[d] her breakfast table for persons newly coming to Syria, or for friends returning from furlough’.</w:t>
      </w:r>
      <w:r w:rsidRPr="00440B9F">
        <w:rPr>
          <w:rStyle w:val="FootnoteReference"/>
          <w:rFonts w:ascii="Palatino Linotype" w:hAnsi="Palatino Linotype"/>
          <w:sz w:val="22"/>
          <w:szCs w:val="22"/>
        </w:rPr>
        <w:footnoteReference w:id="231"/>
      </w:r>
      <w:r w:rsidRPr="00440B9F">
        <w:rPr>
          <w:rFonts w:ascii="Palatino Linotype" w:hAnsi="Palatino Linotype"/>
          <w:sz w:val="22"/>
          <w:szCs w:val="22"/>
        </w:rPr>
        <w:t xml:space="preserve"> B</w:t>
      </w:r>
      <w:r w:rsidRPr="00440B9F">
        <w:rPr>
          <w:rFonts w:ascii="Palatino Linotype" w:hAnsi="Palatino Linotype" w:cs="Arial"/>
          <w:color w:val="000000"/>
          <w:sz w:val="22"/>
          <w:szCs w:val="22"/>
        </w:rPr>
        <w:t>aking these foods demonstrated missionary women’s continued links to the United States, for the recipes and even some of the ingredients were shipped from the United States, while serving these special dishes brought a bit of ‘home’ to the dinner table in Syria.</w:t>
      </w:r>
      <w:r w:rsidRPr="00440B9F">
        <w:rPr>
          <w:rFonts w:ascii="Palatino Linotype" w:hAnsi="Palatino Linotype" w:cs="Arial"/>
          <w:color w:val="000000"/>
          <w:sz w:val="22"/>
          <w:szCs w:val="22"/>
          <w:vertAlign w:val="superscript"/>
        </w:rPr>
        <w:footnoteReference w:id="232"/>
      </w:r>
      <w:r w:rsidRPr="00440B9F">
        <w:rPr>
          <w:rFonts w:ascii="Palatino Linotype" w:hAnsi="Palatino Linotype" w:cs="Arial"/>
          <w:color w:val="000000"/>
          <w:sz w:val="22"/>
          <w:szCs w:val="22"/>
        </w:rPr>
        <w:t xml:space="preserve">  However, as these women often asked for recipes on how to prepare staple items, such as rennet and pie crust, it can be argued that cooking formed only an occasional activity within their housekeeping responsibilities.</w:t>
      </w:r>
      <w:r w:rsidRPr="00440B9F">
        <w:rPr>
          <w:rFonts w:ascii="Palatino Linotype" w:hAnsi="Palatino Linotype" w:cs="Arial"/>
          <w:color w:val="000000"/>
          <w:sz w:val="22"/>
          <w:szCs w:val="22"/>
          <w:vertAlign w:val="superscript"/>
        </w:rPr>
        <w:footnoteReference w:id="233"/>
      </w:r>
    </w:p>
    <w:p w:rsidR="00D42FBF" w:rsidRPr="00440B9F" w:rsidRDefault="00D42FBF" w:rsidP="001761FF">
      <w:pPr>
        <w:spacing w:line="360" w:lineRule="auto"/>
        <w:jc w:val="both"/>
        <w:rPr>
          <w:rFonts w:ascii="Palatino Linotype" w:hAnsi="Palatino Linotype" w:cs="Arial"/>
          <w:color w:val="000000"/>
          <w:sz w:val="22"/>
          <w:szCs w:val="22"/>
        </w:rPr>
      </w:pPr>
      <w:r w:rsidRPr="00440B9F">
        <w:rPr>
          <w:rFonts w:ascii="Palatino Linotype" w:hAnsi="Palatino Linotype" w:cs="Arial"/>
          <w:color w:val="000000"/>
          <w:sz w:val="22"/>
          <w:szCs w:val="22"/>
        </w:rPr>
        <w:tab/>
        <w:t>While the labour of cooking was not a central attribute of Protestant womanhood, food preparation was another topic taught to young Syrian Protestant women, including the students at the DeForest Female Seminary.</w:t>
      </w:r>
      <w:r w:rsidRPr="00440B9F">
        <w:rPr>
          <w:rFonts w:ascii="Palatino Linotype" w:hAnsi="Palatino Linotype" w:cs="Arial"/>
          <w:color w:val="000000"/>
          <w:sz w:val="22"/>
          <w:szCs w:val="22"/>
          <w:vertAlign w:val="superscript"/>
        </w:rPr>
        <w:footnoteReference w:id="234"/>
      </w:r>
      <w:r w:rsidRPr="00440B9F">
        <w:rPr>
          <w:rFonts w:ascii="Palatino Linotype" w:hAnsi="Palatino Linotype" w:cs="Arial"/>
          <w:color w:val="000000"/>
          <w:sz w:val="22"/>
          <w:szCs w:val="22"/>
        </w:rPr>
        <w:t xml:space="preserve">  However, this culinary education underscores that the development and transference of Protestant womanhood was a complicated process of cultural negotiation. In 1848, Hetty Smith recorded that a group of young Syrian Protestant women, many of whom were teenagers at the time, worked together to prepare stuffed vine leaves, which Hetty called ‘mashy’.</w:t>
      </w:r>
      <w:r w:rsidRPr="00440B9F">
        <w:rPr>
          <w:rStyle w:val="FootnoteReference"/>
          <w:rFonts w:ascii="Palatino Linotype" w:hAnsi="Palatino Linotype" w:cs="Arial"/>
          <w:color w:val="000000"/>
          <w:sz w:val="22"/>
          <w:szCs w:val="22"/>
        </w:rPr>
        <w:footnoteReference w:id="235"/>
      </w:r>
      <w:r w:rsidRPr="00440B9F">
        <w:rPr>
          <w:rFonts w:ascii="Palatino Linotype" w:hAnsi="Palatino Linotype" w:cs="Arial"/>
          <w:color w:val="000000"/>
          <w:sz w:val="22"/>
          <w:szCs w:val="22"/>
        </w:rPr>
        <w:t xml:space="preserve"> Although the girls were raised primarily within the homes of the ABCFM missionaries, they were knowledgeable of how to prepare this Syrian dish. Another interesting case arose with John DeForest’s description of a ‘real Arab dinner’, which he enjoyed at the house of Rahil and Butrus al-Bustani. At this dinner, DeForest ate ‘</w:t>
      </w:r>
      <w:r w:rsidRPr="00440B9F">
        <w:rPr>
          <w:rFonts w:ascii="Palatino Linotype" w:hAnsi="Palatino Linotype" w:cs="Arial"/>
          <w:i/>
          <w:color w:val="000000"/>
          <w:sz w:val="22"/>
          <w:szCs w:val="22"/>
        </w:rPr>
        <w:t>kibbeh</w:t>
      </w:r>
      <w:r w:rsidRPr="00440B9F">
        <w:rPr>
          <w:rFonts w:ascii="Palatino Linotype" w:hAnsi="Palatino Linotype" w:cs="Arial"/>
          <w:color w:val="000000"/>
          <w:sz w:val="22"/>
          <w:szCs w:val="22"/>
        </w:rPr>
        <w:t>’, ‘pilau, stuffed lamb, boiled wheat, dried figs, pine seeds, and pistachio nuts.’</w:t>
      </w:r>
      <w:r w:rsidRPr="00440B9F">
        <w:rPr>
          <w:rStyle w:val="FootnoteReference"/>
          <w:rFonts w:ascii="Palatino Linotype" w:hAnsi="Palatino Linotype" w:cs="Arial"/>
          <w:color w:val="000000"/>
          <w:sz w:val="22"/>
          <w:szCs w:val="22"/>
        </w:rPr>
        <w:footnoteReference w:id="236"/>
      </w:r>
      <w:r w:rsidRPr="00440B9F">
        <w:rPr>
          <w:rFonts w:ascii="Palatino Linotype" w:hAnsi="Palatino Linotype" w:cs="Arial"/>
          <w:color w:val="000000"/>
          <w:sz w:val="22"/>
          <w:szCs w:val="22"/>
        </w:rPr>
        <w:t xml:space="preserve"> It is inferred from DeForest’s description that Rahil cooked or at least supervised the preparation of these Syrian foods. This is puzzling since earlier descriptions of Rahil’s education do not included culinary training, but rather the opposite, for she was forbidden to enter the kitchen when she was student under the care of Sarah Smith.</w:t>
      </w:r>
      <w:r w:rsidRPr="00440B9F">
        <w:rPr>
          <w:rStyle w:val="FootnoteReference"/>
          <w:rFonts w:ascii="Palatino Linotype" w:hAnsi="Palatino Linotype" w:cs="Arial"/>
          <w:color w:val="000000"/>
          <w:sz w:val="22"/>
          <w:szCs w:val="22"/>
        </w:rPr>
        <w:footnoteReference w:id="237"/>
      </w:r>
      <w:r w:rsidRPr="00440B9F">
        <w:rPr>
          <w:rFonts w:ascii="Palatino Linotype" w:hAnsi="Palatino Linotype" w:cs="Arial"/>
          <w:color w:val="000000"/>
          <w:sz w:val="22"/>
          <w:szCs w:val="22"/>
        </w:rPr>
        <w:t xml:space="preserve"> Such examples suggest that the knowledge held by young Syrian Protestant women was acquired through a variety of different channels, despite the ABCFM missionaries’ attempts to tightly regulate their educational and gender development.</w:t>
      </w:r>
      <w:r w:rsidRPr="00440B9F">
        <w:rPr>
          <w:rStyle w:val="FootnoteReference"/>
          <w:rFonts w:ascii="Palatino Linotype" w:hAnsi="Palatino Linotype" w:cs="Arial"/>
          <w:color w:val="000000"/>
          <w:sz w:val="22"/>
          <w:szCs w:val="22"/>
        </w:rPr>
        <w:footnoteReference w:id="238"/>
      </w:r>
      <w:r w:rsidRPr="00440B9F">
        <w:rPr>
          <w:rFonts w:ascii="Palatino Linotype" w:hAnsi="Palatino Linotype" w:cs="Arial"/>
          <w:color w:val="000000"/>
          <w:sz w:val="22"/>
          <w:szCs w:val="22"/>
        </w:rPr>
        <w:t xml:space="preserve"> </w:t>
      </w:r>
    </w:p>
    <w:p w:rsidR="00D42FBF" w:rsidRPr="00440B9F" w:rsidRDefault="00D42FBF" w:rsidP="001761FF">
      <w:pPr>
        <w:spacing w:line="360" w:lineRule="auto"/>
        <w:jc w:val="both"/>
        <w:rPr>
          <w:rFonts w:ascii="Palatino Linotype" w:hAnsi="Palatino Linotype" w:cs="Arial"/>
          <w:color w:val="000000"/>
          <w:sz w:val="22"/>
          <w:szCs w:val="22"/>
        </w:rPr>
      </w:pPr>
      <w:r w:rsidRPr="00440B9F">
        <w:rPr>
          <w:rFonts w:ascii="Palatino Linotype" w:hAnsi="Palatino Linotype" w:cs="Arial"/>
          <w:color w:val="000000"/>
          <w:sz w:val="22"/>
          <w:szCs w:val="22"/>
        </w:rPr>
        <w:tab/>
        <w:t>The true complexity of young Syrian Protestant women’s relationship with food is illuminated in a report from the Female Seminary. After the return of the DeForests to the United States in 1857, this school re-opened under the care of Abby Bliss in 1858, who wrote that:</w:t>
      </w:r>
    </w:p>
    <w:p w:rsidR="00D42FBF" w:rsidRDefault="00D42FBF" w:rsidP="001761FF">
      <w:pPr>
        <w:ind w:left="720" w:right="720"/>
        <w:jc w:val="both"/>
        <w:rPr>
          <w:rFonts w:ascii="Palatino Linotype" w:hAnsi="Palatino Linotype"/>
        </w:rPr>
      </w:pPr>
      <w:r w:rsidRPr="00440B9F">
        <w:rPr>
          <w:rFonts w:ascii="Palatino Linotype" w:hAnsi="Palatino Linotype"/>
          <w:sz w:val="22"/>
          <w:szCs w:val="22"/>
        </w:rPr>
        <w:t>[t]here were always two sets of meals to order, one for the five Americans, including the two young ladies who were to have charge of the school [and], one of the native food for the five little pupils, the one Syrian teacher and the servants.</w:t>
      </w:r>
      <w:r w:rsidRPr="00440B9F">
        <w:rPr>
          <w:rStyle w:val="FootnoteReference"/>
          <w:rFonts w:ascii="Palatino Linotype" w:hAnsi="Palatino Linotype"/>
          <w:sz w:val="22"/>
          <w:szCs w:val="22"/>
        </w:rPr>
        <w:footnoteReference w:id="239"/>
      </w:r>
    </w:p>
    <w:p w:rsidR="00D42FBF" w:rsidRPr="00440B9F" w:rsidRDefault="00D42FBF" w:rsidP="001761FF">
      <w:pPr>
        <w:ind w:left="720" w:right="720"/>
        <w:jc w:val="both"/>
        <w:rPr>
          <w:rFonts w:ascii="Palatino Linotype" w:hAnsi="Palatino Linotype"/>
          <w:sz w:val="22"/>
          <w:szCs w:val="22"/>
        </w:rPr>
      </w:pPr>
    </w:p>
    <w:p w:rsidR="00D42FBF" w:rsidRPr="00440B9F" w:rsidRDefault="00D42FBF" w:rsidP="001761FF">
      <w:pPr>
        <w:spacing w:line="360" w:lineRule="auto"/>
        <w:jc w:val="both"/>
        <w:rPr>
          <w:rFonts w:ascii="Palatino Linotype" w:hAnsi="Palatino Linotype"/>
          <w:sz w:val="22"/>
          <w:szCs w:val="22"/>
        </w:rPr>
      </w:pPr>
      <w:r w:rsidRPr="00440B9F">
        <w:rPr>
          <w:rFonts w:ascii="Palatino Linotype" w:hAnsi="Palatino Linotype"/>
          <w:sz w:val="22"/>
          <w:szCs w:val="22"/>
        </w:rPr>
        <w:t xml:space="preserve">Bliss’s comment suggests that food divided the individuals in this school-household, for some consumed ‘American’ food, while others ate ‘native food’. This division was based upon personal taste and acquisition of Protestant culture, for the (older) Syrian teacher, the students and servants ate Syrian food, while the Syrian ‘young ladies’ ate with the Americans. Although Bliss’s phrasing emphasised a racial divide, the actual eating activity she described reveals the complexities of how race and culture affected the relationships amongst women (and men) in the Protestant Circle, as well as their personal articulation of the Protestant identity. </w:t>
      </w:r>
    </w:p>
    <w:p w:rsidR="00D42FBF" w:rsidRPr="00440B9F" w:rsidRDefault="00D42FBF" w:rsidP="001761FF">
      <w:pPr>
        <w:spacing w:line="360" w:lineRule="auto"/>
        <w:jc w:val="both"/>
        <w:rPr>
          <w:rFonts w:ascii="Palatino Linotype" w:hAnsi="Palatino Linotype" w:cs="Arial"/>
          <w:sz w:val="22"/>
          <w:szCs w:val="22"/>
        </w:rPr>
      </w:pPr>
      <w:r w:rsidRPr="00440B9F">
        <w:rPr>
          <w:rFonts w:ascii="Palatino Linotype" w:hAnsi="Palatino Linotype" w:cs="Arial"/>
          <w:color w:val="000000"/>
          <w:sz w:val="22"/>
          <w:szCs w:val="22"/>
        </w:rPr>
        <w:tab/>
      </w:r>
    </w:p>
    <w:p w:rsidR="00D42FBF" w:rsidRPr="00440B9F" w:rsidRDefault="00D42FBF" w:rsidP="001761FF">
      <w:pPr>
        <w:spacing w:line="360" w:lineRule="auto"/>
        <w:jc w:val="both"/>
        <w:rPr>
          <w:rFonts w:ascii="Palatino Linotype" w:hAnsi="Palatino Linotype" w:cs="Arial"/>
          <w:sz w:val="22"/>
          <w:szCs w:val="22"/>
        </w:rPr>
        <w:sectPr w:rsidR="00D42FBF" w:rsidRPr="00440B9F" w:rsidSect="001761FF">
          <w:footerReference w:type="default" r:id="rId10"/>
          <w:footnotePr>
            <w:numRestart w:val="eachSect"/>
          </w:footnotePr>
          <w:pgSz w:w="12240" w:h="15840"/>
          <w:pgMar w:top="1134" w:right="1418" w:bottom="2268" w:left="2268" w:header="720" w:footer="720" w:gutter="0"/>
          <w:cols w:space="720"/>
          <w:docGrid w:linePitch="360"/>
        </w:sectPr>
      </w:pPr>
      <w:r w:rsidRPr="00440B9F">
        <w:rPr>
          <w:rFonts w:ascii="Palatino Linotype" w:hAnsi="Palatino Linotype" w:cs="Arial"/>
          <w:sz w:val="22"/>
          <w:szCs w:val="22"/>
        </w:rPr>
        <w:t>This chapter investigated the influence of gender on determining the idealised roles for Protestant women, their relationships with others and individuals’ articulations of this new faith and culture. It was shown that the Protestant Circle was defined by a gendered hierarchy, in which women were perceived to be auxiliary or marginal to the work conducted by men. However, the activities of women often undermined their narrow role through delaying marriages, engaging in teaching, organising Bible Classes and editing journals. Although all women struggled with this gendered inequality, various divisions separated Protestant women, with race being the primary marker of difference. These divisions affected the ways that women interacted with each other, performed the Protestant faith and culture, and subverted their assigned roles. Thus, employing a gendered lens illuminated the true complexities of the Protestant Circle and highlighted the manifold terms for Protestant faith, culture and womanhood that it composed.</w:t>
      </w:r>
    </w:p>
    <w:p w:rsidR="005A0142" w:rsidRPr="002F5036" w:rsidRDefault="005A0142" w:rsidP="000864C2">
      <w:pPr>
        <w:spacing w:line="360" w:lineRule="auto"/>
        <w:jc w:val="both"/>
        <w:rPr>
          <w:rFonts w:ascii="Palatino Linotype" w:hAnsi="Palatino Linotype" w:cs="Arial"/>
          <w:sz w:val="22"/>
          <w:szCs w:val="22"/>
        </w:rPr>
      </w:pPr>
    </w:p>
    <w:sectPr w:rsidR="005A0142" w:rsidRPr="002F5036" w:rsidSect="0070609C">
      <w:footerReference w:type="default" r:id="rId11"/>
      <w:pgSz w:w="12240" w:h="15840"/>
      <w:pgMar w:top="1134" w:right="1418" w:bottom="2268" w:left="2268" w:header="720" w:footer="720" w:gutter="0"/>
      <w:pgNumType w:start="159"/>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33B9" w:rsidRDefault="006B33B9">
      <w:r>
        <w:separator/>
      </w:r>
    </w:p>
  </w:endnote>
  <w:endnote w:type="continuationSeparator" w:id="1">
    <w:p w:rsidR="006B33B9" w:rsidRDefault="006B33B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Albany">
    <w:altName w:val="Arial"/>
    <w:charset w:val="00"/>
    <w:family w:val="swiss"/>
    <w:pitch w:val="variable"/>
    <w:sig w:usb0="00000000" w:usb1="00000000" w:usb2="00000000" w:usb3="00000000" w:csb0="00000000" w:csb1="00000000"/>
  </w:font>
  <w:font w:name="HG Mincho Light J">
    <w:altName w:val="Times New Roman"/>
    <w:charset w:val="00"/>
    <w:family w:val="auto"/>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Palatino Linotype">
    <w:panose1 w:val="02040502050505030304"/>
    <w:charset w:val="00"/>
    <w:family w:val="roman"/>
    <w:pitch w:val="variable"/>
    <w:sig w:usb0="E0000387" w:usb1="40000013" w:usb2="00000000" w:usb3="00000000" w:csb0="0000019F" w:csb1="00000000"/>
  </w:font>
  <w:font w:name="KoufrUni">
    <w:panose1 w:val="02000603080000020003"/>
    <w:charset w:val="00"/>
    <w:family w:val="auto"/>
    <w:pitch w:val="variable"/>
    <w:sig w:usb0="A00000FF" w:usb1="00000000" w:usb2="00000000" w:usb3="00000000" w:csb0="00000019" w:csb1="00000000"/>
  </w:font>
  <w:font w:name="JaghbUni">
    <w:panose1 w:val="02000503070000020003"/>
    <w:charset w:val="00"/>
    <w:family w:val="auto"/>
    <w:pitch w:val="variable"/>
    <w:sig w:usb0="A00000FF" w:usb1="00000000" w:usb2="00000000" w:usb3="00000000" w:csb0="0000001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004144"/>
      <w:docPartObj>
        <w:docPartGallery w:val="Page Numbers (Bottom of Page)"/>
        <w:docPartUnique/>
      </w:docPartObj>
    </w:sdtPr>
    <w:sdtContent>
      <w:p w:rsidR="00D42FBF" w:rsidRDefault="00D42FBF">
        <w:pPr>
          <w:pStyle w:val="Footer"/>
          <w:jc w:val="right"/>
        </w:pPr>
        <w:fldSimple w:instr=" PAGE   \* MERGEFORMAT ">
          <w:r>
            <w:rPr>
              <w:noProof/>
            </w:rPr>
            <w:t>214</w:t>
          </w:r>
        </w:fldSimple>
      </w:p>
    </w:sdtContent>
  </w:sdt>
  <w:p w:rsidR="00D42FBF" w:rsidRDefault="00D42FB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284196"/>
      <w:docPartObj>
        <w:docPartGallery w:val="Page Numbers (Bottom of Page)"/>
        <w:docPartUnique/>
      </w:docPartObj>
    </w:sdtPr>
    <w:sdtContent>
      <w:p w:rsidR="00453C6E" w:rsidRDefault="00497FBC">
        <w:pPr>
          <w:pStyle w:val="Footer"/>
          <w:jc w:val="right"/>
        </w:pPr>
        <w:fldSimple w:instr=" PAGE   \* MERGEFORMAT ">
          <w:r w:rsidR="0070609C">
            <w:rPr>
              <w:noProof/>
            </w:rPr>
            <w:t>210</w:t>
          </w:r>
        </w:fldSimple>
      </w:p>
    </w:sdtContent>
  </w:sdt>
  <w:p w:rsidR="00453C6E" w:rsidRDefault="00453C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33B9" w:rsidRDefault="006B33B9">
      <w:r>
        <w:separator/>
      </w:r>
    </w:p>
  </w:footnote>
  <w:footnote w:type="continuationSeparator" w:id="1">
    <w:p w:rsidR="006B33B9" w:rsidRDefault="006B33B9">
      <w:r>
        <w:continuationSeparator/>
      </w:r>
    </w:p>
  </w:footnote>
  <w:footnote w:id="2">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Judith Lorber and Susan A. Farrell, (eds.), </w:t>
      </w:r>
      <w:r w:rsidRPr="00F1103D">
        <w:rPr>
          <w:rFonts w:ascii="Palatino Linotype" w:hAnsi="Palatino Linotype"/>
          <w:i/>
        </w:rPr>
        <w:t>The Social Construction of Gender</w:t>
      </w:r>
      <w:r w:rsidRPr="00F1103D">
        <w:rPr>
          <w:rFonts w:ascii="Palatino Linotype" w:hAnsi="Palatino Linotype"/>
        </w:rPr>
        <w:t xml:space="preserve"> (London: Sage, 1991): 1.</w:t>
      </w:r>
    </w:p>
  </w:footnote>
  <w:footnote w:id="3">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Although Feminists differ on whether gender acts as a distinct, autonomous field, or as a characteristic within fields, this chapter draws upon both of these attributes of gender in order to fully understand the development and negotiation of womanhood within the Protestant Circle. Adkins and Skeggs, (eds.), </w:t>
      </w:r>
      <w:r w:rsidRPr="00F1103D">
        <w:rPr>
          <w:rFonts w:ascii="Palatino Linotype" w:hAnsi="Palatino Linotype"/>
          <w:i/>
        </w:rPr>
        <w:t>Feminism After Bourdieu</w:t>
      </w:r>
      <w:r w:rsidRPr="00F1103D">
        <w:rPr>
          <w:rFonts w:ascii="Palatino Linotype" w:hAnsi="Palatino Linotype"/>
        </w:rPr>
        <w:t>: 6; Moi, ‘Appropriating Bourdieu’: 1017-1049.</w:t>
      </w:r>
    </w:p>
  </w:footnote>
  <w:footnote w:id="4">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Lawler, ‘Rules of engagement’:110-125.</w:t>
      </w:r>
    </w:p>
  </w:footnote>
  <w:footnote w:id="5">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Although Said investigated gender in his later works, compare the Edward Said, </w:t>
      </w:r>
      <w:r w:rsidRPr="00F1103D">
        <w:rPr>
          <w:rFonts w:ascii="Palatino Linotype" w:hAnsi="Palatino Linotype"/>
          <w:i/>
        </w:rPr>
        <w:t>Orientalism (</w:t>
      </w:r>
      <w:r w:rsidRPr="00F1103D">
        <w:rPr>
          <w:rFonts w:ascii="Palatino Linotype" w:hAnsi="Palatino Linotype"/>
        </w:rPr>
        <w:t xml:space="preserve">Third Edition) (London: Penguin, 2003) to Reina Lewis, </w:t>
      </w:r>
      <w:r w:rsidRPr="00F1103D">
        <w:rPr>
          <w:rFonts w:ascii="Palatino Linotype" w:hAnsi="Palatino Linotype"/>
          <w:i/>
        </w:rPr>
        <w:t>Gendering Orientalism: Race, Femininity and Representation</w:t>
      </w:r>
      <w:r w:rsidRPr="00F1103D">
        <w:rPr>
          <w:rFonts w:ascii="Palatino Linotype" w:hAnsi="Palatino Linotype"/>
        </w:rPr>
        <w:t xml:space="preserve"> (London and New York: Routledge, 1996) and Reina Lewis, </w:t>
      </w:r>
      <w:r w:rsidRPr="00F1103D">
        <w:rPr>
          <w:rFonts w:ascii="Palatino Linotype" w:hAnsi="Palatino Linotype"/>
          <w:i/>
        </w:rPr>
        <w:t>Rethinking Orientalism: Women, Travel and the Ottoman Harem</w:t>
      </w:r>
      <w:r w:rsidRPr="00F1103D">
        <w:rPr>
          <w:rFonts w:ascii="Palatino Linotype" w:hAnsi="Palatino Linotype"/>
        </w:rPr>
        <w:t xml:space="preserve"> (London and New York: I.B. Tauris, 2004).</w:t>
      </w:r>
    </w:p>
  </w:footnote>
  <w:footnote w:id="6">
    <w:p w:rsidR="00D42FBF" w:rsidRPr="00F1103D" w:rsidRDefault="00D42FBF" w:rsidP="001761FF">
      <w:pPr>
        <w:ind w:left="86" w:hanging="86"/>
        <w:jc w:val="both"/>
        <w:rPr>
          <w:rFonts w:ascii="Palatino Linotype" w:hAnsi="Palatino Linotype"/>
          <w:color w:val="000000"/>
          <w:sz w:val="20"/>
          <w:szCs w:val="20"/>
        </w:rPr>
      </w:pPr>
      <w:r w:rsidRPr="00F1103D">
        <w:rPr>
          <w:rStyle w:val="FootnoteReference"/>
          <w:rFonts w:ascii="Palatino Linotype" w:hAnsi="Palatino Linotype"/>
          <w:sz w:val="20"/>
          <w:szCs w:val="20"/>
        </w:rPr>
        <w:footnoteRef/>
      </w:r>
      <w:r w:rsidRPr="00F1103D">
        <w:rPr>
          <w:rFonts w:ascii="Palatino Linotype" w:hAnsi="Palatino Linotype"/>
          <w:sz w:val="20"/>
          <w:szCs w:val="20"/>
        </w:rPr>
        <w:t xml:space="preserve"> These exceptions include, for the ABCFM: Fleischmann, ‘Our Moslem Sisters’; McCoy, ‘The Women of the ABCFM Oregon Mission’; for the United States: </w:t>
      </w:r>
      <w:r w:rsidRPr="00F1103D">
        <w:rPr>
          <w:rFonts w:ascii="Palatino Linotype" w:hAnsi="Palatino Linotype"/>
          <w:color w:val="000000"/>
          <w:sz w:val="20"/>
          <w:szCs w:val="20"/>
        </w:rPr>
        <w:t xml:space="preserve">Ryan, </w:t>
      </w:r>
      <w:r w:rsidRPr="00F1103D">
        <w:rPr>
          <w:rFonts w:ascii="Palatino Linotype" w:hAnsi="Palatino Linotype"/>
          <w:i/>
          <w:color w:val="000000"/>
          <w:sz w:val="20"/>
          <w:szCs w:val="20"/>
        </w:rPr>
        <w:t>Cradle of the Middle Class</w:t>
      </w:r>
      <w:r w:rsidRPr="00F1103D">
        <w:rPr>
          <w:rFonts w:ascii="Palatino Linotype" w:hAnsi="Palatino Linotype"/>
          <w:color w:val="000000"/>
          <w:sz w:val="20"/>
          <w:szCs w:val="20"/>
        </w:rPr>
        <w:t xml:space="preserve">; Cott, </w:t>
      </w:r>
      <w:r w:rsidRPr="00F1103D">
        <w:rPr>
          <w:rFonts w:ascii="Palatino Linotype" w:hAnsi="Palatino Linotype"/>
          <w:i/>
          <w:color w:val="000000"/>
          <w:sz w:val="20"/>
          <w:szCs w:val="20"/>
        </w:rPr>
        <w:t>The Bonds of Womanhood</w:t>
      </w:r>
      <w:r w:rsidRPr="00F1103D">
        <w:rPr>
          <w:rFonts w:ascii="Palatino Linotype" w:hAnsi="Palatino Linotype"/>
          <w:sz w:val="20"/>
          <w:szCs w:val="20"/>
        </w:rPr>
        <w:t xml:space="preserve">, Westerkamp, </w:t>
      </w:r>
      <w:r w:rsidRPr="00F1103D">
        <w:rPr>
          <w:rFonts w:ascii="Palatino Linotype" w:hAnsi="Palatino Linotype"/>
          <w:i/>
          <w:sz w:val="20"/>
          <w:szCs w:val="20"/>
        </w:rPr>
        <w:t xml:space="preserve">Women and Religion in Early America; </w:t>
      </w:r>
      <w:r w:rsidRPr="00F1103D">
        <w:rPr>
          <w:rFonts w:ascii="Palatino Linotype" w:hAnsi="Palatino Linotype"/>
          <w:sz w:val="20"/>
          <w:szCs w:val="20"/>
        </w:rPr>
        <w:t xml:space="preserve">For Ottoman Syria and Lebanon: Khater, ‘“House” to “Goddess of the House”’; Khater, ‘God has Called Me to be Free’; Margaret L. Meriwether, </w:t>
      </w:r>
      <w:r w:rsidRPr="00F1103D">
        <w:rPr>
          <w:rFonts w:ascii="Palatino Linotype" w:hAnsi="Palatino Linotype"/>
          <w:i/>
          <w:sz w:val="20"/>
          <w:szCs w:val="20"/>
        </w:rPr>
        <w:t>The Kin Who Count: Family and Society in Ottoman Aleppo, 1770-1840</w:t>
      </w:r>
      <w:r w:rsidRPr="00F1103D">
        <w:rPr>
          <w:rFonts w:ascii="Palatino Linotype" w:hAnsi="Palatino Linotype"/>
          <w:sz w:val="20"/>
          <w:szCs w:val="20"/>
        </w:rPr>
        <w:t xml:space="preserve"> (Austin: University of Texas Press, 1999); Jean Said Makdisi, “The Mythology of Modernizing: Women and Democracy in Lebanon”, in: M. Yamani, (ed.), </w:t>
      </w:r>
      <w:r w:rsidRPr="00F1103D">
        <w:rPr>
          <w:rFonts w:ascii="Palatino Linotype" w:hAnsi="Palatino Linotype"/>
          <w:i/>
          <w:sz w:val="20"/>
          <w:szCs w:val="20"/>
        </w:rPr>
        <w:t>Feminism and Islam: Legal and Literary Perspectives</w:t>
      </w:r>
      <w:r w:rsidRPr="00F1103D">
        <w:rPr>
          <w:rFonts w:ascii="Palatino Linotype" w:hAnsi="Palatino Linotype"/>
          <w:sz w:val="20"/>
          <w:szCs w:val="20"/>
        </w:rPr>
        <w:t xml:space="preserve"> (Reading: Garnet Publishing, 1996): 231-249.</w:t>
      </w:r>
    </w:p>
  </w:footnote>
  <w:footnote w:id="7">
    <w:p w:rsidR="00D42FBF" w:rsidRPr="00F1103D" w:rsidRDefault="00D42FBF" w:rsidP="001761FF">
      <w:pPr>
        <w:pStyle w:val="FootnoteText"/>
        <w:ind w:left="86" w:hanging="86"/>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For example, Rahil (Ata) al-Bustani is mentioned only in a footnote in Tibawi, ‘The American Missionaries in Beirut’: 159 (note 80). </w:t>
      </w:r>
    </w:p>
  </w:footnote>
  <w:footnote w:id="8">
    <w:p w:rsidR="00D42FBF" w:rsidRPr="00F1103D" w:rsidRDefault="00D42FBF" w:rsidP="001761FF">
      <w:pPr>
        <w:pStyle w:val="FootnoteText"/>
        <w:ind w:left="90" w:hanging="90"/>
        <w:jc w:val="both"/>
        <w:rPr>
          <w:rFonts w:ascii="Palatino Linotype" w:hAnsi="Palatino Linotype"/>
          <w:i/>
        </w:rPr>
      </w:pPr>
      <w:r w:rsidRPr="00F1103D">
        <w:rPr>
          <w:rStyle w:val="FootnoteReference"/>
          <w:rFonts w:ascii="Palatino Linotype" w:hAnsi="Palatino Linotype"/>
        </w:rPr>
        <w:footnoteRef/>
      </w:r>
      <w:r w:rsidRPr="00F1103D">
        <w:rPr>
          <w:rFonts w:ascii="Palatino Linotype" w:hAnsi="Palatino Linotype"/>
        </w:rPr>
        <w:t xml:space="preserve"> Ma‘oz, </w:t>
      </w:r>
      <w:r w:rsidRPr="00F1103D">
        <w:rPr>
          <w:rFonts w:ascii="Palatino Linotype" w:hAnsi="Palatino Linotype"/>
          <w:i/>
        </w:rPr>
        <w:t>Ottoman Reform in</w:t>
      </w:r>
      <w:r w:rsidRPr="00F1103D">
        <w:rPr>
          <w:rFonts w:ascii="Palatino Linotype" w:hAnsi="Palatino Linotype"/>
        </w:rPr>
        <w:t xml:space="preserve">: 30; Makdisi, ‘Rethinking Ottoman Imperialism’: 29-39; Makdisi, </w:t>
      </w:r>
      <w:r w:rsidRPr="00F1103D">
        <w:rPr>
          <w:rFonts w:ascii="Palatino Linotype" w:hAnsi="Palatino Linotype"/>
          <w:i/>
        </w:rPr>
        <w:t>Culture of Sectarianism</w:t>
      </w:r>
      <w:r w:rsidRPr="00F1103D">
        <w:rPr>
          <w:rFonts w:ascii="Palatino Linotype" w:hAnsi="Palatino Linotype"/>
        </w:rPr>
        <w:t xml:space="preserve">: 6; Masters, </w:t>
      </w:r>
      <w:r w:rsidRPr="00F1103D">
        <w:rPr>
          <w:rFonts w:ascii="Palatino Linotype" w:hAnsi="Palatino Linotype"/>
          <w:i/>
        </w:rPr>
        <w:t>Christians and Jews in the Ottoman Arab World</w:t>
      </w:r>
      <w:r w:rsidRPr="00F1103D">
        <w:rPr>
          <w:rFonts w:ascii="Palatino Linotype" w:hAnsi="Palatino Linotype"/>
        </w:rPr>
        <w:t xml:space="preserve">: 130-168; Ozveren, ‘The Making and Unmaking of an Ottoman Port-City’: 159; Zachs, </w:t>
      </w:r>
      <w:r w:rsidRPr="00F1103D">
        <w:rPr>
          <w:rFonts w:ascii="Palatino Linotype" w:hAnsi="Palatino Linotype"/>
          <w:i/>
        </w:rPr>
        <w:t>The Making of a Syrian Identity</w:t>
      </w:r>
      <w:r w:rsidRPr="00F1103D">
        <w:rPr>
          <w:rFonts w:ascii="Palatino Linotype" w:hAnsi="Palatino Linotype"/>
        </w:rPr>
        <w:t>: 45-49; Klink, ‘Beyond the Tantur’</w:t>
      </w:r>
      <w:r w:rsidRPr="00F1103D">
        <w:rPr>
          <w:rFonts w:ascii="Palatino Linotype" w:hAnsi="Palatino Linotype"/>
          <w:i/>
        </w:rPr>
        <w:t>.</w:t>
      </w:r>
    </w:p>
  </w:footnote>
  <w:footnote w:id="9">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McDannel, </w:t>
      </w:r>
      <w:r w:rsidRPr="00F1103D">
        <w:rPr>
          <w:rFonts w:ascii="Palatino Linotype" w:hAnsi="Palatino Linotype"/>
          <w:i/>
        </w:rPr>
        <w:t>Material Christianities</w:t>
      </w:r>
      <w:r w:rsidRPr="00F1103D">
        <w:rPr>
          <w:rFonts w:ascii="Palatino Linotype" w:hAnsi="Palatino Linotype"/>
        </w:rPr>
        <w:t>: 67-102;</w:t>
      </w:r>
      <w:r w:rsidRPr="00F1103D">
        <w:rPr>
          <w:rFonts w:ascii="Palatino Linotype" w:hAnsi="Palatino Linotype"/>
          <w:i/>
        </w:rPr>
        <w:t xml:space="preserve"> </w:t>
      </w:r>
      <w:r w:rsidRPr="00F1103D">
        <w:rPr>
          <w:rFonts w:ascii="Palatino Linotype" w:hAnsi="Palatino Linotype"/>
        </w:rPr>
        <w:t xml:space="preserve">Ryan, </w:t>
      </w:r>
      <w:r w:rsidRPr="00F1103D">
        <w:rPr>
          <w:rFonts w:ascii="Palatino Linotype" w:hAnsi="Palatino Linotype"/>
          <w:i/>
        </w:rPr>
        <w:t>Cradle of the Middle Class</w:t>
      </w:r>
      <w:r w:rsidRPr="00F1103D">
        <w:rPr>
          <w:rFonts w:ascii="Palatino Linotype" w:hAnsi="Palatino Linotype"/>
        </w:rPr>
        <w:t xml:space="preserve">: 145-185; Cott, </w:t>
      </w:r>
      <w:r w:rsidRPr="00F1103D">
        <w:rPr>
          <w:rFonts w:ascii="Palatino Linotype" w:hAnsi="Palatino Linotype"/>
          <w:i/>
        </w:rPr>
        <w:t>The Bonds of Womanhood</w:t>
      </w:r>
      <w:r w:rsidRPr="00F1103D">
        <w:rPr>
          <w:rFonts w:ascii="Palatino Linotype" w:hAnsi="Palatino Linotype"/>
        </w:rPr>
        <w:t xml:space="preserve">: 126-159; KleinBurg, </w:t>
      </w:r>
      <w:r w:rsidRPr="00F1103D">
        <w:rPr>
          <w:rFonts w:ascii="Palatino Linotype" w:hAnsi="Palatino Linotype"/>
          <w:i/>
        </w:rPr>
        <w:t>Women in the United States, 1830-1945</w:t>
      </w:r>
      <w:r w:rsidRPr="00F1103D">
        <w:rPr>
          <w:rFonts w:ascii="Palatino Linotype" w:hAnsi="Palatino Linotype"/>
        </w:rPr>
        <w:t xml:space="preserve">: 80-102; Welter, ‘The Feminization of American Religion’: 157-179; Douglas, </w:t>
      </w:r>
      <w:r w:rsidRPr="00F1103D">
        <w:rPr>
          <w:rFonts w:ascii="Palatino Linotype" w:hAnsi="Palatino Linotype"/>
          <w:i/>
        </w:rPr>
        <w:t>The Feminization of American Culture</w:t>
      </w:r>
      <w:r w:rsidRPr="00F1103D">
        <w:rPr>
          <w:rFonts w:ascii="Palatino Linotype" w:hAnsi="Palatino Linotype"/>
        </w:rPr>
        <w:t>.</w:t>
      </w:r>
    </w:p>
  </w:footnote>
  <w:footnote w:id="10">
    <w:p w:rsidR="00D42FBF" w:rsidRPr="00F1103D" w:rsidRDefault="00D42FBF" w:rsidP="001761FF">
      <w:pPr>
        <w:pStyle w:val="FootnoteText"/>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Compare with the use of female authors and biographical subjects as models for readers in late nineteenth century Egyptian literature. Booth, </w:t>
      </w:r>
      <w:r w:rsidRPr="00F1103D">
        <w:rPr>
          <w:rFonts w:ascii="Palatino Linotype" w:hAnsi="Palatino Linotype"/>
          <w:i/>
        </w:rPr>
        <w:t>May Her Likes be Multiplied</w:t>
      </w:r>
      <w:r w:rsidRPr="00F1103D">
        <w:rPr>
          <w:rFonts w:ascii="Palatino Linotype" w:hAnsi="Palatino Linotype"/>
        </w:rPr>
        <w:t>.</w:t>
      </w:r>
    </w:p>
  </w:footnote>
  <w:footnote w:id="11">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Bond, </w:t>
      </w:r>
      <w:r w:rsidRPr="00F1103D">
        <w:rPr>
          <w:rFonts w:ascii="Palatino Linotype" w:hAnsi="Palatino Linotype"/>
          <w:i/>
        </w:rPr>
        <w:t>Memoir of the Rev. Pliny Fisk</w:t>
      </w:r>
      <w:r w:rsidRPr="00F1103D">
        <w:rPr>
          <w:rFonts w:ascii="Palatino Linotype" w:hAnsi="Palatino Linotype"/>
        </w:rPr>
        <w:t>: 98; Tracey, ‘HABCFM’: 80</w:t>
      </w:r>
    </w:p>
  </w:footnote>
  <w:footnote w:id="12">
    <w:p w:rsidR="00D42FBF" w:rsidRPr="00F1103D" w:rsidRDefault="00D42FBF" w:rsidP="001761FF">
      <w:pPr>
        <w:pStyle w:val="FootnoteText"/>
        <w:ind w:left="90" w:hanging="90"/>
        <w:jc w:val="both"/>
        <w:rPr>
          <w:rFonts w:ascii="Palatino Linotype" w:hAnsi="Palatino Linotype" w:cs="Arial"/>
        </w:rPr>
      </w:pPr>
      <w:r w:rsidRPr="00F1103D">
        <w:rPr>
          <w:rStyle w:val="FootnoteReference"/>
          <w:rFonts w:ascii="Palatino Linotype" w:hAnsi="Palatino Linotype"/>
        </w:rPr>
        <w:footnoteRef/>
      </w:r>
      <w:r w:rsidRPr="00F1103D">
        <w:rPr>
          <w:rFonts w:ascii="Palatino Linotype" w:hAnsi="Palatino Linotype"/>
        </w:rPr>
        <w:t xml:space="preserve"> </w:t>
      </w:r>
      <w:r w:rsidRPr="00F1103D">
        <w:rPr>
          <w:rFonts w:ascii="Palatino Linotype" w:hAnsi="Palatino Linotype" w:cs="Arial"/>
        </w:rPr>
        <w:t>Bird and Goodell, ‘Letter to Jowett’ (n.s., 4 February 1829).</w:t>
      </w:r>
    </w:p>
  </w:footnote>
  <w:footnote w:id="13">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Different opinions on the marriage of missionaries were articulated by members of the ABCFM. See Bird and Goodell, ‘Letter to Jowett’ (n.s., 4 February 1829); Rufus Anderson in </w:t>
      </w:r>
      <w:r w:rsidRPr="00F1103D">
        <w:rPr>
          <w:rFonts w:ascii="Palatino Linotype" w:hAnsi="Palatino Linotype"/>
          <w:i/>
        </w:rPr>
        <w:t>MH</w:t>
      </w:r>
      <w:r w:rsidRPr="00F1103D">
        <w:rPr>
          <w:rFonts w:ascii="Palatino Linotype" w:hAnsi="Palatino Linotype"/>
        </w:rPr>
        <w:t xml:space="preserve"> (1842): 422-424; Smith, ‘Letter to Rufus Anderson’ (Beirut, 19 October 1855).</w:t>
      </w:r>
    </w:p>
  </w:footnote>
  <w:footnote w:id="14">
    <w:p w:rsidR="00D42FBF" w:rsidRPr="00F1103D" w:rsidRDefault="00D42FBF" w:rsidP="001761FF">
      <w:pPr>
        <w:pStyle w:val="FootnoteText"/>
        <w:ind w:left="90" w:hanging="90"/>
        <w:jc w:val="both"/>
        <w:rPr>
          <w:rFonts w:ascii="Palatino Linotype" w:hAnsi="Palatino Linotype"/>
          <w:i/>
        </w:rPr>
      </w:pPr>
      <w:r w:rsidRPr="00F1103D">
        <w:rPr>
          <w:rStyle w:val="FootnoteReference"/>
          <w:rFonts w:ascii="Palatino Linotype" w:hAnsi="Palatino Linotype"/>
        </w:rPr>
        <w:footnoteRef/>
      </w:r>
      <w:r w:rsidRPr="00F1103D">
        <w:rPr>
          <w:rFonts w:ascii="Palatino Linotype" w:hAnsi="Palatino Linotype"/>
        </w:rPr>
        <w:t xml:space="preserve"> Compare this to the ‘problem’ faced by British merchants who were ‘offered’ services by Hawaiian women during the late nineteenth century and British officials who married and/or enslaved Indian women during the late eighteenth to early nineteenth centuries. Sahlins, </w:t>
      </w:r>
      <w:r w:rsidRPr="00F1103D">
        <w:rPr>
          <w:rFonts w:ascii="Palatino Linotype" w:hAnsi="Palatino Linotype"/>
          <w:i/>
        </w:rPr>
        <w:t>Historical Metaphors and Mythical Realities</w:t>
      </w:r>
      <w:r w:rsidRPr="00F1103D">
        <w:rPr>
          <w:rFonts w:ascii="Palatino Linotype" w:hAnsi="Palatino Linotype"/>
        </w:rPr>
        <w:t>: 40-41; 47-48; Clancy-Smith, ‘Methodologies: Colonialism: 18</w:t>
      </w:r>
      <w:r w:rsidRPr="00F1103D">
        <w:rPr>
          <w:rFonts w:ascii="Palatino Linotype" w:hAnsi="Palatino Linotype"/>
          <w:vertAlign w:val="superscript"/>
        </w:rPr>
        <w:t>th</w:t>
      </w:r>
      <w:r w:rsidRPr="00F1103D">
        <w:rPr>
          <w:rFonts w:ascii="Palatino Linotype" w:hAnsi="Palatino Linotype"/>
        </w:rPr>
        <w:t xml:space="preserve"> to Early 20</w:t>
      </w:r>
      <w:r w:rsidRPr="00F1103D">
        <w:rPr>
          <w:rFonts w:ascii="Palatino Linotype" w:hAnsi="Palatino Linotype"/>
          <w:vertAlign w:val="superscript"/>
        </w:rPr>
        <w:t>th</w:t>
      </w:r>
      <w:r w:rsidRPr="00F1103D">
        <w:rPr>
          <w:rFonts w:ascii="Palatino Linotype" w:hAnsi="Palatino Linotype"/>
        </w:rPr>
        <w:t xml:space="preserve"> Century’: 102. For an analysis on interracial marriages in the United States during the nineteenth century see Margaret D. Jacobs, ‘The Eastmans and the Luhans: Interracial Marriage between White Women and Native American Men, 1875-1935’, </w:t>
      </w:r>
      <w:r w:rsidRPr="00F1103D">
        <w:rPr>
          <w:rFonts w:ascii="Palatino Linotype" w:hAnsi="Palatino Linotype"/>
          <w:i/>
          <w:iCs/>
        </w:rPr>
        <w:t>Frontiers: A Journal of Women Studies,</w:t>
      </w:r>
      <w:r w:rsidRPr="00F1103D">
        <w:rPr>
          <w:rFonts w:ascii="Palatino Linotype" w:hAnsi="Palatino Linotype"/>
        </w:rPr>
        <w:t>23:3 (2002): 29-54. Further research is needed to explain the argument that the Female Seminary ‘should not be [reopened] in Abeih because the male Seminary is there’. n.s., ‘Report of Female Seminary’ (n.s., 1855): PHS: RG 115 Box 3-1:B: 8.</w:t>
      </w:r>
    </w:p>
  </w:footnote>
  <w:footnote w:id="15">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Compare with the ABCFM’s stance in 1863, when wives were regarded as ‘a protection among savages, and [missionary] men can not there long make a tolerable home without them’. Anderson, </w:t>
      </w:r>
      <w:r w:rsidRPr="00F1103D">
        <w:rPr>
          <w:rFonts w:ascii="Palatino Linotype" w:hAnsi="Palatino Linotype"/>
          <w:i/>
        </w:rPr>
        <w:t>MV</w:t>
      </w:r>
      <w:r w:rsidRPr="00F1103D">
        <w:rPr>
          <w:rFonts w:ascii="Palatino Linotype" w:hAnsi="Palatino Linotype"/>
        </w:rPr>
        <w:t xml:space="preserve">: 272. </w:t>
      </w:r>
    </w:p>
  </w:footnote>
  <w:footnote w:id="16">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Stockdale, ‘Danger and the Missionary Enterprise’: 113-132. </w:t>
      </w:r>
    </w:p>
  </w:footnote>
  <w:footnote w:id="17">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Syrian women became objects of sexual desire in missionary and missionary-approved literature during the late 1850s. Lindner, ‘From Rebecca to the ‘Three Dancing Girls of Egypt’.</w:t>
      </w:r>
    </w:p>
  </w:footnote>
  <w:footnote w:id="18">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McCoy, ‘The Women of the ABCFM Oregon Mission’: 70; Williams, ‘Rebecca Williams Hebard’: 9; Hill, </w:t>
      </w:r>
      <w:r w:rsidRPr="00F1103D">
        <w:rPr>
          <w:rFonts w:ascii="Palatino Linotype" w:hAnsi="Palatino Linotype"/>
          <w:i/>
        </w:rPr>
        <w:t>The World Their Household</w:t>
      </w:r>
      <w:r w:rsidRPr="00F1103D">
        <w:rPr>
          <w:rFonts w:ascii="Palatino Linotype" w:hAnsi="Palatino Linotype"/>
        </w:rPr>
        <w:t>: 10-14.</w:t>
      </w:r>
    </w:p>
  </w:footnote>
  <w:footnote w:id="19">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Hooker, </w:t>
      </w:r>
      <w:r w:rsidRPr="00F1103D">
        <w:rPr>
          <w:rFonts w:ascii="Palatino Linotype" w:hAnsi="Palatino Linotype"/>
          <w:i/>
        </w:rPr>
        <w:t>MSLS</w:t>
      </w:r>
      <w:r w:rsidRPr="00F1103D">
        <w:rPr>
          <w:rFonts w:ascii="Palatino Linotype" w:hAnsi="Palatino Linotype"/>
        </w:rPr>
        <w:t>: 38-50</w:t>
      </w:r>
    </w:p>
  </w:footnote>
  <w:footnote w:id="20">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Hooker, </w:t>
      </w:r>
      <w:r w:rsidRPr="00F1103D">
        <w:rPr>
          <w:rFonts w:ascii="Palatino Linotype" w:hAnsi="Palatino Linotype"/>
          <w:i/>
        </w:rPr>
        <w:t>MSLS:</w:t>
      </w:r>
      <w:r w:rsidRPr="00F1103D">
        <w:rPr>
          <w:rFonts w:ascii="Palatino Linotype" w:hAnsi="Palatino Linotype"/>
        </w:rPr>
        <w:t xml:space="preserve"> 30.</w:t>
      </w:r>
    </w:p>
  </w:footnote>
  <w:footnote w:id="21">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Hooker, </w:t>
      </w:r>
      <w:r w:rsidRPr="00F1103D">
        <w:rPr>
          <w:rFonts w:ascii="Palatino Linotype" w:hAnsi="Palatino Linotype"/>
          <w:i/>
        </w:rPr>
        <w:t>MSLS</w:t>
      </w:r>
      <w:r w:rsidRPr="00F1103D">
        <w:rPr>
          <w:rFonts w:ascii="Palatino Linotype" w:hAnsi="Palatino Linotype"/>
        </w:rPr>
        <w:t xml:space="preserve">: 273. Historians have shown that white women’s exploration of gender during colonising and missionary encounters were complex and at times contradictory experiences. Compare the articles in Huber and Lutkenhaus, (eds.), </w:t>
      </w:r>
      <w:r w:rsidRPr="00F1103D">
        <w:rPr>
          <w:rFonts w:ascii="Palatino Linotype" w:hAnsi="Palatino Linotype"/>
          <w:i/>
        </w:rPr>
        <w:t>GM</w:t>
      </w:r>
      <w:r w:rsidRPr="00F1103D">
        <w:rPr>
          <w:rFonts w:ascii="Palatino Linotype" w:hAnsi="Palatino Linotype"/>
        </w:rPr>
        <w:t>; Chaudhuri and Strobel (eds.),</w:t>
      </w:r>
      <w:r w:rsidRPr="00F1103D">
        <w:rPr>
          <w:rFonts w:ascii="Palatino Linotype" w:hAnsi="Palatino Linotype"/>
          <w:i/>
        </w:rPr>
        <w:t xml:space="preserve"> Western Women and Imperialism</w:t>
      </w:r>
      <w:r w:rsidRPr="00F1103D">
        <w:rPr>
          <w:rFonts w:ascii="Palatino Linotype" w:hAnsi="Palatino Linotype"/>
        </w:rPr>
        <w:t>.</w:t>
      </w:r>
    </w:p>
  </w:footnote>
  <w:footnote w:id="22">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Hooker, </w:t>
      </w:r>
      <w:r w:rsidRPr="00F1103D">
        <w:rPr>
          <w:rFonts w:ascii="Palatino Linotype" w:hAnsi="Palatino Linotype"/>
          <w:i/>
        </w:rPr>
        <w:t>MSLS</w:t>
      </w:r>
      <w:r w:rsidRPr="00F1103D">
        <w:rPr>
          <w:rFonts w:ascii="Palatino Linotype" w:hAnsi="Palatino Linotype"/>
        </w:rPr>
        <w:t>: 206, 266-268.</w:t>
      </w:r>
    </w:p>
  </w:footnote>
  <w:footnote w:id="23">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w:t>
      </w:r>
      <w:r w:rsidRPr="00F1103D">
        <w:rPr>
          <w:rFonts w:ascii="Palatino Linotype" w:hAnsi="Palatino Linotype"/>
          <w:i/>
        </w:rPr>
        <w:t>MH</w:t>
      </w:r>
      <w:r w:rsidRPr="00F1103D">
        <w:rPr>
          <w:rFonts w:ascii="Palatino Linotype" w:hAnsi="Palatino Linotype"/>
        </w:rPr>
        <w:t xml:space="preserve"> (1834): 127-128, 411-412; </w:t>
      </w:r>
      <w:r w:rsidRPr="00F1103D">
        <w:rPr>
          <w:rFonts w:ascii="Palatino Linotype" w:hAnsi="Palatino Linotype"/>
          <w:i/>
        </w:rPr>
        <w:t>MH</w:t>
      </w:r>
      <w:r w:rsidRPr="00F1103D">
        <w:rPr>
          <w:rFonts w:ascii="Palatino Linotype" w:hAnsi="Palatino Linotype"/>
        </w:rPr>
        <w:t xml:space="preserve"> (1836): 8.</w:t>
      </w:r>
    </w:p>
  </w:footnote>
  <w:footnote w:id="24">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e.g Gilman, ‘Candidate Letter for Sarah Lanman Huntington’ (Norwich, 11 May 1833): HHL: ABC 6, v.12; Henry Ely, ‘Candidate Letter for Maria M. Chapin’ (n.s., 28 January 1841): HHL: ABC 6, v.17.</w:t>
      </w:r>
    </w:p>
  </w:footnote>
  <w:footnote w:id="25">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Williams, ‘Rebecca Williams Hebard’: 10-11; Smith, ‘Letter to Rebecca Williams’ (Beirut, 13 May 1834).</w:t>
      </w:r>
    </w:p>
  </w:footnote>
  <w:footnote w:id="26">
    <w:p w:rsidR="00D42FBF" w:rsidRPr="00F1103D" w:rsidRDefault="00D42FBF" w:rsidP="001761FF">
      <w:pPr>
        <w:pStyle w:val="FootnoteText"/>
        <w:ind w:left="90" w:hanging="90"/>
        <w:jc w:val="both"/>
        <w:rPr>
          <w:rFonts w:ascii="Palatino Linotype" w:hAnsi="Palatino Linotype" w:cs="Arial"/>
        </w:rPr>
      </w:pPr>
      <w:r w:rsidRPr="00F1103D">
        <w:rPr>
          <w:rStyle w:val="FootnoteReference"/>
          <w:rFonts w:ascii="Palatino Linotype" w:hAnsi="Palatino Linotype"/>
        </w:rPr>
        <w:footnoteRef/>
      </w:r>
      <w:r w:rsidRPr="00F1103D">
        <w:rPr>
          <w:rFonts w:ascii="Palatino Linotype" w:hAnsi="Palatino Linotype"/>
        </w:rPr>
        <w:t xml:space="preserve"> </w:t>
      </w:r>
      <w:r w:rsidRPr="00F1103D">
        <w:rPr>
          <w:rFonts w:ascii="Palatino Linotype" w:hAnsi="Palatino Linotype" w:cs="Arial"/>
        </w:rPr>
        <w:t xml:space="preserve">Elias R. Beadle, </w:t>
      </w:r>
      <w:r w:rsidRPr="00F1103D">
        <w:rPr>
          <w:rFonts w:ascii="Palatino Linotype" w:hAnsi="Palatino Linotype"/>
          <w:color w:val="000000"/>
        </w:rPr>
        <w:t xml:space="preserve">‘Letter to Rev. R. Anderson’ (Beirut, </w:t>
      </w:r>
      <w:r w:rsidRPr="00F1103D">
        <w:rPr>
          <w:rFonts w:ascii="Palatino Linotype" w:hAnsi="Palatino Linotype" w:cs="Arial"/>
        </w:rPr>
        <w:t xml:space="preserve">16 January 1841): </w:t>
      </w:r>
      <w:r w:rsidRPr="00F1103D">
        <w:rPr>
          <w:rFonts w:ascii="Palatino Linotype" w:hAnsi="Palatino Linotype"/>
        </w:rPr>
        <w:t xml:space="preserve">ABCFM microfilm Unit 5: Near East:  Reel 539: </w:t>
      </w:r>
      <w:r w:rsidRPr="00F1103D">
        <w:rPr>
          <w:rFonts w:ascii="Palatino Linotype" w:hAnsi="Palatino Linotype"/>
          <w:color w:val="000000"/>
        </w:rPr>
        <w:t>133B-134A;</w:t>
      </w:r>
      <w:r w:rsidRPr="00F1103D">
        <w:rPr>
          <w:rFonts w:ascii="Palatino Linotype" w:hAnsi="Palatino Linotype" w:cs="Arial"/>
        </w:rPr>
        <w:t xml:space="preserve"> Leander Thompson, ‘Letter to Dr. Anderson’ (Beirut, 25 January 1841): ABCFM microfilm Unit 5: Near East: Reel 539: 474-475; Charles A. Sherman, ‘Letter to R. Anderson’ (Beirut, 3 April 1841): ABCFM microfilm Unit 5: Near East: Reel 539: 250B.</w:t>
      </w:r>
    </w:p>
  </w:footnote>
  <w:footnote w:id="27">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These are noted in Appendix I.</w:t>
      </w:r>
    </w:p>
  </w:footnote>
  <w:footnote w:id="28">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The first name of this woman is unknown.</w:t>
      </w:r>
    </w:p>
  </w:footnote>
  <w:footnote w:id="29">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For more on George Badger, especially his relationship with Faris al-Shidyaq, see Geoffrey </w:t>
      </w:r>
      <w:r w:rsidRPr="00F1103D">
        <w:rPr>
          <w:rFonts w:ascii="Palatino Linotype" w:hAnsi="Palatino Linotype"/>
          <w:bCs/>
        </w:rPr>
        <w:t xml:space="preserve">Roper, ‘George Percy Badger (1815-1888)’, </w:t>
      </w:r>
      <w:r w:rsidRPr="00F1103D">
        <w:rPr>
          <w:rFonts w:ascii="Palatino Linotype" w:hAnsi="Palatino Linotype"/>
          <w:i/>
          <w:iCs/>
        </w:rPr>
        <w:t>Bulletin (British Society for Middle Eastern Studies</w:t>
      </w:r>
      <w:r w:rsidRPr="00F1103D">
        <w:rPr>
          <w:rFonts w:ascii="Palatino Linotype" w:hAnsi="Palatino Linotype"/>
          <w:iCs/>
        </w:rPr>
        <w:t>)</w:t>
      </w:r>
      <w:r w:rsidRPr="00F1103D">
        <w:rPr>
          <w:rFonts w:ascii="Palatino Linotype" w:hAnsi="Palatino Linotype"/>
        </w:rPr>
        <w:t>, 11: 2 (1984): 140-155.</w:t>
      </w:r>
    </w:p>
  </w:footnote>
  <w:footnote w:id="30">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ABCFM, </w:t>
      </w:r>
      <w:r w:rsidRPr="00F1103D">
        <w:rPr>
          <w:rFonts w:ascii="Palatino Linotype" w:hAnsi="Palatino Linotype"/>
          <w:i/>
        </w:rPr>
        <w:t>Annual Report</w:t>
      </w:r>
      <w:r w:rsidRPr="00F1103D">
        <w:rPr>
          <w:rFonts w:ascii="Palatino Linotype" w:hAnsi="Palatino Linotype"/>
        </w:rPr>
        <w:t xml:space="preserve"> (Beirut, 1837); Thomson and Hebard, ‘Report of the Female School for 1838’; </w:t>
      </w:r>
      <w:r w:rsidRPr="00F1103D">
        <w:rPr>
          <w:rFonts w:ascii="Palatino Linotype" w:hAnsi="Palatino Linotype"/>
          <w:i/>
        </w:rPr>
        <w:t xml:space="preserve">MH </w:t>
      </w:r>
      <w:r w:rsidRPr="00F1103D">
        <w:rPr>
          <w:rFonts w:ascii="Palatino Linotype" w:hAnsi="Palatino Linotype"/>
        </w:rPr>
        <w:t>(1838): 475.</w:t>
      </w:r>
    </w:p>
  </w:footnote>
  <w:footnote w:id="31">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Heleen Murre-van den Berg, ‘“Dear Mother of My Soul”: Fidelia Fiske and the Role of Women Missionaries in Mid-Nineteenth Century Iran’, </w:t>
      </w:r>
      <w:r w:rsidRPr="00F1103D">
        <w:rPr>
          <w:rFonts w:ascii="Palatino Linotype" w:hAnsi="Palatino Linotype"/>
          <w:i/>
        </w:rPr>
        <w:t>Exchange</w:t>
      </w:r>
      <w:r w:rsidRPr="00F1103D">
        <w:rPr>
          <w:rFonts w:ascii="Palatino Linotype" w:hAnsi="Palatino Linotype"/>
        </w:rPr>
        <w:t>, 30:1 (2001): 47.</w:t>
      </w:r>
    </w:p>
  </w:footnote>
  <w:footnote w:id="32">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Hooker, </w:t>
      </w:r>
      <w:r w:rsidRPr="00F1103D">
        <w:rPr>
          <w:rFonts w:ascii="Palatino Linotype" w:hAnsi="Palatino Linotype"/>
          <w:i/>
        </w:rPr>
        <w:t>MSLS</w:t>
      </w:r>
      <w:r w:rsidRPr="00F1103D">
        <w:rPr>
          <w:rFonts w:ascii="Palatino Linotype" w:hAnsi="Palatino Linotype"/>
        </w:rPr>
        <w:t>: 219.</w:t>
      </w:r>
    </w:p>
  </w:footnote>
  <w:footnote w:id="33">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Cornelius V.A. Van Dyck, ‘The Governing Object in Missions to the Heathen’, in: </w:t>
      </w:r>
      <w:r w:rsidRPr="00F1103D">
        <w:rPr>
          <w:rFonts w:ascii="Palatino Linotype" w:hAnsi="Palatino Linotype"/>
          <w:i/>
        </w:rPr>
        <w:t>MSM</w:t>
      </w:r>
      <w:r w:rsidRPr="00F1103D">
        <w:rPr>
          <w:rFonts w:ascii="Palatino Linotype" w:hAnsi="Palatino Linotype"/>
        </w:rPr>
        <w:t xml:space="preserve">: 9-12; Robert, </w:t>
      </w:r>
      <w:r w:rsidRPr="00F1103D">
        <w:rPr>
          <w:rFonts w:ascii="Palatino Linotype" w:hAnsi="Palatino Linotype"/>
          <w:i/>
        </w:rPr>
        <w:t>American Women in Mission</w:t>
      </w:r>
      <w:r w:rsidRPr="00F1103D">
        <w:rPr>
          <w:rFonts w:ascii="Palatino Linotype" w:hAnsi="Palatino Linotype"/>
        </w:rPr>
        <w:t>: 117.</w:t>
      </w:r>
    </w:p>
  </w:footnote>
  <w:footnote w:id="34">
    <w:p w:rsidR="00D42FBF" w:rsidRPr="00F1103D" w:rsidRDefault="00D42FBF" w:rsidP="001761FF">
      <w:pPr>
        <w:ind w:left="90" w:hanging="90"/>
        <w:jc w:val="both"/>
        <w:rPr>
          <w:rFonts w:ascii="Palatino Linotype" w:hAnsi="Palatino Linotype"/>
          <w:sz w:val="20"/>
          <w:szCs w:val="20"/>
        </w:rPr>
      </w:pPr>
      <w:r w:rsidRPr="00F1103D">
        <w:rPr>
          <w:rStyle w:val="FootnoteReference"/>
          <w:rFonts w:ascii="Palatino Linotype" w:hAnsi="Palatino Linotype"/>
          <w:sz w:val="20"/>
          <w:szCs w:val="20"/>
        </w:rPr>
        <w:footnoteRef/>
      </w:r>
      <w:r w:rsidRPr="00F1103D">
        <w:rPr>
          <w:rFonts w:ascii="Palatino Linotype" w:hAnsi="Palatino Linotype"/>
          <w:sz w:val="20"/>
          <w:szCs w:val="20"/>
        </w:rPr>
        <w:t xml:space="preserve"> Henrietta Smith, ‘Letter to Sister’ (Beirut, 9 May 1848): YDS: ES Box 1: Folder 18; Robert, </w:t>
      </w:r>
      <w:r w:rsidRPr="00F1103D">
        <w:rPr>
          <w:rFonts w:ascii="Palatino Linotype" w:hAnsi="Palatino Linotype"/>
          <w:i/>
          <w:sz w:val="20"/>
          <w:szCs w:val="20"/>
        </w:rPr>
        <w:t>American Women in Mission</w:t>
      </w:r>
      <w:r w:rsidRPr="00F1103D">
        <w:rPr>
          <w:rFonts w:ascii="Palatino Linotype" w:hAnsi="Palatino Linotype"/>
          <w:sz w:val="20"/>
          <w:szCs w:val="20"/>
        </w:rPr>
        <w:t>: 61.</w:t>
      </w:r>
    </w:p>
  </w:footnote>
  <w:footnote w:id="35">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Robert, </w:t>
      </w:r>
      <w:r w:rsidRPr="00F1103D">
        <w:rPr>
          <w:rFonts w:ascii="Palatino Linotype" w:hAnsi="Palatino Linotype"/>
          <w:i/>
        </w:rPr>
        <w:t>American Women in Mission</w:t>
      </w:r>
      <w:r w:rsidRPr="00F1103D">
        <w:rPr>
          <w:rFonts w:ascii="Palatino Linotype" w:hAnsi="Palatino Linotype"/>
        </w:rPr>
        <w:t xml:space="preserve">: 21. </w:t>
      </w:r>
    </w:p>
  </w:footnote>
  <w:footnote w:id="36">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Emphasis in original. Henrietta Smith, ‘Letter to Sister’ (Beirut, ‘Monday Eve’g’ [Winter 1847-8]): YDS: ES Box 1: Folder 17; Henrietta Smith, ‘Letter to Sister’ (Bhamdoun, 21 July 1847): YDS: ES Box 1: Folder 17.</w:t>
      </w:r>
    </w:p>
  </w:footnote>
  <w:footnote w:id="37">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The demographics of missionaries at the Syrian Station do not support Anderson’s hypothesis. See Appendix I.</w:t>
      </w:r>
    </w:p>
  </w:footnote>
  <w:footnote w:id="38">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w:t>
      </w:r>
      <w:r w:rsidRPr="00F1103D">
        <w:rPr>
          <w:rFonts w:ascii="Palatino Linotype" w:hAnsi="Palatino Linotype" w:cs="Arial"/>
          <w:i/>
        </w:rPr>
        <w:t>MH</w:t>
      </w:r>
      <w:r w:rsidRPr="00F1103D">
        <w:rPr>
          <w:rFonts w:ascii="Palatino Linotype" w:hAnsi="Palatino Linotype" w:cs="Arial"/>
        </w:rPr>
        <w:t xml:space="preserve"> (1842): 422-424. This resulted in the breaking away of independent missionary organisations for women in the 1860s. See Robert, </w:t>
      </w:r>
      <w:r w:rsidRPr="00F1103D">
        <w:rPr>
          <w:rFonts w:ascii="Palatino Linotype" w:hAnsi="Palatino Linotype" w:cs="Arial"/>
          <w:i/>
        </w:rPr>
        <w:t>American Women in Mission</w:t>
      </w:r>
      <w:r w:rsidRPr="00F1103D">
        <w:rPr>
          <w:rFonts w:ascii="Palatino Linotype" w:hAnsi="Palatino Linotype" w:cs="Arial"/>
        </w:rPr>
        <w:t>: 115-133.</w:t>
      </w:r>
    </w:p>
  </w:footnote>
  <w:footnote w:id="39">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w:t>
      </w:r>
      <w:r w:rsidRPr="00F1103D">
        <w:rPr>
          <w:rFonts w:ascii="Palatino Linotype" w:hAnsi="Palatino Linotype"/>
          <w:i/>
        </w:rPr>
        <w:t>MH</w:t>
      </w:r>
      <w:r w:rsidRPr="00F1103D">
        <w:rPr>
          <w:rFonts w:ascii="Palatino Linotype" w:hAnsi="Palatino Linotype"/>
        </w:rPr>
        <w:t xml:space="preserve"> (1852): 146; ABCFM, </w:t>
      </w:r>
      <w:r w:rsidRPr="00F1103D">
        <w:rPr>
          <w:rFonts w:ascii="Palatino Linotype" w:hAnsi="Palatino Linotype"/>
          <w:i/>
        </w:rPr>
        <w:t>Annual Report</w:t>
      </w:r>
      <w:r w:rsidRPr="00F1103D">
        <w:rPr>
          <w:rFonts w:ascii="Palatino Linotype" w:hAnsi="Palatino Linotype"/>
        </w:rPr>
        <w:t xml:space="preserve"> (Syria, 1854); Smith, ‘Letter to Sister’ (Beirut, 3 May 1851); Henrietta Smith, ‘Letter to Sister’ (Beirut, 31 January 1856): YDS: ES Box 1: Folder 23; Smith, ‘Letter to Brother [Isaac] Bird’ (Beirut, 27 November 1850).</w:t>
      </w:r>
    </w:p>
  </w:footnote>
  <w:footnote w:id="40">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n.s., ‘Report of Female Seminary’ (n.s., 1855).</w:t>
      </w:r>
    </w:p>
  </w:footnote>
  <w:footnote w:id="41">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Anna Louisa Whittlesey may have been the sister of Roxana Whittlesey Foote.</w:t>
      </w:r>
    </w:p>
  </w:footnote>
  <w:footnote w:id="42">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w:t>
      </w:r>
      <w:r w:rsidRPr="00F1103D">
        <w:rPr>
          <w:rFonts w:ascii="Palatino Linotype" w:hAnsi="Palatino Linotype"/>
          <w:i/>
        </w:rPr>
        <w:t>MH</w:t>
      </w:r>
      <w:r w:rsidRPr="00F1103D">
        <w:rPr>
          <w:rFonts w:ascii="Palatino Linotype" w:hAnsi="Palatino Linotype"/>
        </w:rPr>
        <w:t xml:space="preserve"> (1853): 191; Bliss, </w:t>
      </w:r>
      <w:r w:rsidRPr="00F1103D">
        <w:rPr>
          <w:rFonts w:ascii="Palatino Linotype" w:hAnsi="Palatino Linotype"/>
          <w:i/>
        </w:rPr>
        <w:t>RDS</w:t>
      </w:r>
      <w:r w:rsidRPr="00F1103D">
        <w:rPr>
          <w:rFonts w:ascii="Palatino Linotype" w:hAnsi="Palatino Linotype"/>
        </w:rPr>
        <w:t xml:space="preserve">: 130; Jessup, </w:t>
      </w:r>
      <w:r w:rsidRPr="00F1103D">
        <w:rPr>
          <w:rFonts w:ascii="Palatino Linotype" w:hAnsi="Palatino Linotype"/>
          <w:i/>
        </w:rPr>
        <w:t>WA</w:t>
      </w:r>
      <w:r w:rsidRPr="00F1103D">
        <w:rPr>
          <w:rFonts w:ascii="Palatino Linotype" w:hAnsi="Palatino Linotype"/>
        </w:rPr>
        <w:t>: 97.</w:t>
      </w:r>
    </w:p>
  </w:footnote>
  <w:footnote w:id="43">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Compare the proposed roles for Sarah and William Bird in Smith, ‘Letter to Brother [Isaac] Bird’ (Beirut, 27 November 1850).</w:t>
      </w:r>
    </w:p>
  </w:footnote>
  <w:footnote w:id="44">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Wortabet,</w:t>
      </w:r>
      <w:r w:rsidRPr="00F1103D">
        <w:rPr>
          <w:rFonts w:ascii="Palatino Linotype" w:hAnsi="Palatino Linotype"/>
          <w:i/>
        </w:rPr>
        <w:t xml:space="preserve"> RRS</w:t>
      </w:r>
      <w:r w:rsidRPr="00F1103D">
        <w:rPr>
          <w:rFonts w:ascii="Palatino Linotype" w:hAnsi="Palatino Linotype"/>
        </w:rPr>
        <w:t xml:space="preserve">: 403; </w:t>
      </w:r>
      <w:r w:rsidRPr="00F1103D">
        <w:rPr>
          <w:rFonts w:ascii="Palatino Linotype" w:hAnsi="Palatino Linotype"/>
          <w:i/>
        </w:rPr>
        <w:t>MH</w:t>
      </w:r>
      <w:r w:rsidRPr="00F1103D">
        <w:rPr>
          <w:rFonts w:ascii="Palatino Linotype" w:hAnsi="Palatino Linotype"/>
        </w:rPr>
        <w:t xml:space="preserve"> (1848): 268-269.</w:t>
      </w:r>
    </w:p>
  </w:footnote>
  <w:footnote w:id="45">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w:t>
      </w:r>
      <w:r w:rsidRPr="00F1103D">
        <w:rPr>
          <w:rFonts w:ascii="Palatino Linotype" w:hAnsi="Palatino Linotype" w:cs="Arial"/>
          <w:i/>
        </w:rPr>
        <w:t>MH</w:t>
      </w:r>
      <w:r w:rsidRPr="00F1103D">
        <w:rPr>
          <w:rFonts w:ascii="Palatino Linotype" w:hAnsi="Palatino Linotype" w:cs="Arial"/>
        </w:rPr>
        <w:t xml:space="preserve"> (1846): 414.</w:t>
      </w:r>
    </w:p>
  </w:footnote>
  <w:footnote w:id="46">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w:t>
      </w:r>
      <w:r w:rsidRPr="00F1103D">
        <w:rPr>
          <w:rFonts w:ascii="Palatino Linotype" w:hAnsi="Palatino Linotype"/>
          <w:i/>
        </w:rPr>
        <w:t>MH</w:t>
      </w:r>
      <w:r w:rsidRPr="00F1103D">
        <w:rPr>
          <w:rFonts w:ascii="Palatino Linotype" w:hAnsi="Palatino Linotype"/>
        </w:rPr>
        <w:t xml:space="preserve"> (1828): 51; </w:t>
      </w:r>
      <w:r w:rsidRPr="00F1103D">
        <w:rPr>
          <w:rFonts w:ascii="Palatino Linotype" w:hAnsi="Palatino Linotype"/>
          <w:i/>
        </w:rPr>
        <w:t>MH</w:t>
      </w:r>
      <w:r w:rsidRPr="00F1103D">
        <w:rPr>
          <w:rFonts w:ascii="Palatino Linotype" w:hAnsi="Palatino Linotype"/>
        </w:rPr>
        <w:t xml:space="preserve"> (1846): 414-415.</w:t>
      </w:r>
    </w:p>
  </w:footnote>
  <w:footnote w:id="47">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w:t>
      </w:r>
      <w:r w:rsidRPr="00F1103D">
        <w:rPr>
          <w:rFonts w:ascii="Palatino Linotype" w:hAnsi="Palatino Linotype"/>
          <w:i/>
        </w:rPr>
        <w:t xml:space="preserve">MH </w:t>
      </w:r>
      <w:r w:rsidRPr="00F1103D">
        <w:rPr>
          <w:rFonts w:ascii="Palatino Linotype" w:hAnsi="Palatino Linotype"/>
        </w:rPr>
        <w:t xml:space="preserve">(1845): 148-149; </w:t>
      </w:r>
      <w:r w:rsidRPr="00F1103D">
        <w:rPr>
          <w:rFonts w:ascii="Palatino Linotype" w:hAnsi="Palatino Linotype"/>
          <w:i/>
        </w:rPr>
        <w:t>MH</w:t>
      </w:r>
      <w:r w:rsidRPr="00F1103D">
        <w:rPr>
          <w:rFonts w:ascii="Palatino Linotype" w:hAnsi="Palatino Linotype"/>
        </w:rPr>
        <w:t xml:space="preserve"> (1854): 134.</w:t>
      </w:r>
    </w:p>
  </w:footnote>
  <w:footnote w:id="48">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w:t>
      </w:r>
      <w:r w:rsidRPr="00F1103D">
        <w:rPr>
          <w:rFonts w:ascii="Palatino Linotype" w:hAnsi="Palatino Linotype"/>
          <w:i/>
        </w:rPr>
        <w:t>MH</w:t>
      </w:r>
      <w:r w:rsidRPr="00F1103D">
        <w:rPr>
          <w:rFonts w:ascii="Palatino Linotype" w:hAnsi="Palatino Linotype"/>
        </w:rPr>
        <w:t xml:space="preserve"> (1857): 152.</w:t>
      </w:r>
    </w:p>
  </w:footnote>
  <w:footnote w:id="49">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Charles Henry Smith, ‘Letter to Mother’ (Rochester, [N.Y.], 7 October 1857): YDS: ES Box 2: Folder 2; </w:t>
      </w:r>
      <w:r w:rsidRPr="00F1103D">
        <w:rPr>
          <w:rFonts w:ascii="Palatino Linotype" w:hAnsi="Palatino Linotype"/>
          <w:i/>
        </w:rPr>
        <w:t>MH</w:t>
      </w:r>
      <w:r w:rsidRPr="00F1103D">
        <w:rPr>
          <w:rFonts w:ascii="Palatino Linotype" w:hAnsi="Palatino Linotype"/>
        </w:rPr>
        <w:t xml:space="preserve"> (1835): 93; </w:t>
      </w:r>
      <w:r w:rsidRPr="00F1103D">
        <w:rPr>
          <w:rFonts w:ascii="Palatino Linotype" w:hAnsi="Palatino Linotype"/>
          <w:i/>
        </w:rPr>
        <w:t>MH</w:t>
      </w:r>
      <w:r w:rsidRPr="00F1103D">
        <w:rPr>
          <w:rFonts w:ascii="Palatino Linotype" w:hAnsi="Palatino Linotype"/>
        </w:rPr>
        <w:t xml:space="preserve"> (1847): 183; </w:t>
      </w:r>
      <w:r w:rsidRPr="00F1103D">
        <w:rPr>
          <w:rFonts w:ascii="Palatino Linotype" w:hAnsi="Palatino Linotype"/>
          <w:i/>
        </w:rPr>
        <w:t xml:space="preserve">MH </w:t>
      </w:r>
      <w:r w:rsidRPr="00F1103D">
        <w:rPr>
          <w:rFonts w:ascii="Palatino Linotype" w:hAnsi="Palatino Linotype"/>
        </w:rPr>
        <w:t>(1850): 258.</w:t>
      </w:r>
    </w:p>
  </w:footnote>
  <w:footnote w:id="50">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w:t>
      </w:r>
      <w:r w:rsidRPr="00F1103D">
        <w:rPr>
          <w:rFonts w:ascii="Palatino Linotype" w:hAnsi="Palatino Linotype"/>
          <w:i/>
        </w:rPr>
        <w:t>MH</w:t>
      </w:r>
      <w:r w:rsidRPr="00F1103D">
        <w:rPr>
          <w:rFonts w:ascii="Palatino Linotype" w:hAnsi="Palatino Linotype"/>
        </w:rPr>
        <w:t xml:space="preserve"> (1849): 324-325; </w:t>
      </w:r>
      <w:r w:rsidRPr="00F1103D">
        <w:rPr>
          <w:rFonts w:ascii="Palatino Linotype" w:hAnsi="Palatino Linotype"/>
          <w:i/>
        </w:rPr>
        <w:t>MH</w:t>
      </w:r>
      <w:r w:rsidRPr="00F1103D">
        <w:rPr>
          <w:rFonts w:ascii="Palatino Linotype" w:hAnsi="Palatino Linotype"/>
        </w:rPr>
        <w:t xml:space="preserve"> (1851): 238.</w:t>
      </w:r>
    </w:p>
  </w:footnote>
  <w:footnote w:id="51">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w:t>
      </w:r>
      <w:r w:rsidRPr="00F1103D">
        <w:rPr>
          <w:rFonts w:ascii="Palatino Linotype" w:hAnsi="Palatino Linotype" w:cs="Arial"/>
          <w:i/>
        </w:rPr>
        <w:t>MH</w:t>
      </w:r>
      <w:r w:rsidRPr="00F1103D">
        <w:rPr>
          <w:rFonts w:ascii="Palatino Linotype" w:hAnsi="Palatino Linotype" w:cs="Arial"/>
        </w:rPr>
        <w:t xml:space="preserve"> (1828): 48; Hooker, </w:t>
      </w:r>
      <w:r w:rsidRPr="00F1103D">
        <w:rPr>
          <w:rFonts w:ascii="Palatino Linotype" w:hAnsi="Palatino Linotype" w:cs="Arial"/>
          <w:i/>
        </w:rPr>
        <w:t>MSLS</w:t>
      </w:r>
      <w:r w:rsidRPr="00F1103D">
        <w:rPr>
          <w:rFonts w:ascii="Palatino Linotype" w:hAnsi="Palatino Linotype" w:cs="Arial"/>
        </w:rPr>
        <w:t>: 115-116.</w:t>
      </w:r>
    </w:p>
  </w:footnote>
  <w:footnote w:id="52">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William Eddy wrote that Protestant women in Cana were beaten and almost poisoned by unnamed assailants in </w:t>
      </w:r>
      <w:r w:rsidRPr="00F1103D">
        <w:rPr>
          <w:rFonts w:ascii="Palatino Linotype" w:hAnsi="Palatino Linotype" w:cs="Arial"/>
          <w:i/>
        </w:rPr>
        <w:t>MH</w:t>
      </w:r>
      <w:r w:rsidRPr="00F1103D">
        <w:rPr>
          <w:rFonts w:ascii="Palatino Linotype" w:hAnsi="Palatino Linotype" w:cs="Arial"/>
        </w:rPr>
        <w:t xml:space="preserve"> (1859): 262.</w:t>
      </w:r>
    </w:p>
  </w:footnote>
  <w:footnote w:id="53">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w:t>
      </w:r>
      <w:r w:rsidRPr="00F1103D">
        <w:rPr>
          <w:rFonts w:ascii="Palatino Linotype" w:hAnsi="Palatino Linotype"/>
          <w:i/>
        </w:rPr>
        <w:t>MH</w:t>
      </w:r>
      <w:r w:rsidRPr="00F1103D">
        <w:rPr>
          <w:rFonts w:ascii="Palatino Linotype" w:hAnsi="Palatino Linotype"/>
        </w:rPr>
        <w:t xml:space="preserve"> (1846): 414-415.</w:t>
      </w:r>
    </w:p>
  </w:footnote>
  <w:footnote w:id="54">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Booth, ‘She Herself was the Ultimate Rule’:</w:t>
      </w:r>
      <w:r w:rsidRPr="00F1103D">
        <w:rPr>
          <w:rFonts w:ascii="Palatino Linotype" w:hAnsi="Palatino Linotype"/>
          <w:color w:val="000000"/>
        </w:rPr>
        <w:t xml:space="preserve"> 435.</w:t>
      </w:r>
    </w:p>
  </w:footnote>
  <w:footnote w:id="55">
    <w:p w:rsidR="00D42FBF" w:rsidRPr="00F1103D" w:rsidRDefault="00D42FBF" w:rsidP="001761FF">
      <w:pPr>
        <w:pStyle w:val="FootnoteText"/>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w:t>
      </w:r>
      <w:r w:rsidRPr="00F1103D">
        <w:rPr>
          <w:rFonts w:ascii="Palatino Linotype" w:hAnsi="Palatino Linotype"/>
          <w:i/>
        </w:rPr>
        <w:t>MSM</w:t>
      </w:r>
      <w:r w:rsidRPr="00F1103D">
        <w:rPr>
          <w:rFonts w:ascii="Palatino Linotype" w:hAnsi="Palatino Linotype"/>
        </w:rPr>
        <w:t>: 21.</w:t>
      </w:r>
    </w:p>
  </w:footnote>
  <w:footnote w:id="56">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Henry DeForest in Jessup, </w:t>
      </w:r>
      <w:r w:rsidRPr="00F1103D">
        <w:rPr>
          <w:rFonts w:ascii="Palatino Linotype" w:hAnsi="Palatino Linotype"/>
          <w:i/>
        </w:rPr>
        <w:t>WA</w:t>
      </w:r>
      <w:r w:rsidRPr="00F1103D">
        <w:rPr>
          <w:rFonts w:ascii="Palatino Linotype" w:hAnsi="Palatino Linotype"/>
        </w:rPr>
        <w:t>: 75; Catherine DeForest in Jessup, WA: 80;</w:t>
      </w:r>
      <w:r w:rsidRPr="00F1103D">
        <w:rPr>
          <w:rFonts w:ascii="Palatino Linotype" w:hAnsi="Palatino Linotype"/>
          <w:i/>
        </w:rPr>
        <w:t xml:space="preserve"> </w:t>
      </w:r>
      <w:r w:rsidRPr="00F1103D">
        <w:rPr>
          <w:rFonts w:ascii="Palatino Linotype" w:hAnsi="Palatino Linotype"/>
        </w:rPr>
        <w:t>Sada Barakat in Jessup</w:t>
      </w:r>
      <w:r w:rsidRPr="00F1103D">
        <w:rPr>
          <w:rFonts w:ascii="Palatino Linotype" w:hAnsi="Palatino Linotype"/>
          <w:i/>
        </w:rPr>
        <w:t>, WA</w:t>
      </w:r>
      <w:r w:rsidRPr="00F1103D">
        <w:rPr>
          <w:rFonts w:ascii="Palatino Linotype" w:hAnsi="Palatino Linotype"/>
        </w:rPr>
        <w:t xml:space="preserve">: 86-87. </w:t>
      </w:r>
      <w:r w:rsidRPr="00F1103D">
        <w:rPr>
          <w:rFonts w:ascii="Palatino Linotype" w:hAnsi="Palatino Linotype"/>
          <w:i/>
        </w:rPr>
        <w:t xml:space="preserve"> </w:t>
      </w:r>
      <w:r w:rsidRPr="00F1103D">
        <w:rPr>
          <w:rFonts w:ascii="Palatino Linotype" w:hAnsi="Palatino Linotype"/>
        </w:rPr>
        <w:t xml:space="preserve">Henry Harris Jessup, ‘Letter to Mother’ (Beirut, 3 April 1857): YDS: HHJ Box 1: Folder 4; Jessup, </w:t>
      </w:r>
      <w:r w:rsidRPr="00F1103D">
        <w:rPr>
          <w:rFonts w:ascii="Palatino Linotype" w:hAnsi="Palatino Linotype"/>
          <w:i/>
        </w:rPr>
        <w:t>WA</w:t>
      </w:r>
      <w:r w:rsidRPr="00F1103D">
        <w:rPr>
          <w:rFonts w:ascii="Palatino Linotype" w:hAnsi="Palatino Linotype"/>
        </w:rPr>
        <w:t xml:space="preserve">: 115; </w:t>
      </w:r>
      <w:r w:rsidRPr="00F1103D">
        <w:rPr>
          <w:rFonts w:ascii="Palatino Linotype" w:hAnsi="Palatino Linotype"/>
          <w:i/>
        </w:rPr>
        <w:t>MSM</w:t>
      </w:r>
      <w:r w:rsidRPr="00F1103D">
        <w:rPr>
          <w:rFonts w:ascii="Palatino Linotype" w:hAnsi="Palatino Linotype"/>
        </w:rPr>
        <w:t>: 21.</w:t>
      </w:r>
    </w:p>
  </w:footnote>
  <w:footnote w:id="57">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DeForest, ‘Letter to Eli Smith’ (Beirut, 15 May 1844); Wortabet, ‘Letter to Eli Smith’ (Hasbaya, 7 October 1852).</w:t>
      </w:r>
    </w:p>
  </w:footnote>
  <w:footnote w:id="58">
    <w:p w:rsidR="00D42FBF" w:rsidRPr="00F1103D" w:rsidRDefault="00D42FBF" w:rsidP="001761FF">
      <w:pPr>
        <w:pStyle w:val="FootnoteText"/>
        <w:ind w:left="90" w:hanging="90"/>
        <w:jc w:val="both"/>
        <w:rPr>
          <w:rFonts w:ascii="Palatino Linotype" w:hAnsi="Palatino Linotype" w:cs="Arial"/>
        </w:rPr>
      </w:pPr>
      <w:r w:rsidRPr="00F1103D">
        <w:rPr>
          <w:rStyle w:val="FootnoteReference"/>
          <w:rFonts w:ascii="Palatino Linotype" w:hAnsi="Palatino Linotype"/>
        </w:rPr>
        <w:footnoteRef/>
      </w:r>
      <w:r w:rsidRPr="00F1103D">
        <w:rPr>
          <w:rFonts w:ascii="Palatino Linotype" w:hAnsi="Palatino Linotype"/>
        </w:rPr>
        <w:t xml:space="preserve"> </w:t>
      </w:r>
      <w:r w:rsidRPr="00F1103D">
        <w:rPr>
          <w:rFonts w:ascii="Palatino Linotype" w:hAnsi="Palatino Linotype" w:cs="Arial"/>
        </w:rPr>
        <w:t>DeForest, ‘Letter to Eli Smith’ (Beirut, 15 May 1844).</w:t>
      </w:r>
    </w:p>
  </w:footnote>
  <w:footnote w:id="59">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w:t>
      </w:r>
      <w:r w:rsidRPr="00F1103D">
        <w:rPr>
          <w:rFonts w:ascii="Palatino Linotype" w:hAnsi="Palatino Linotype" w:cs="Arial"/>
        </w:rPr>
        <w:t xml:space="preserve">Jessup, </w:t>
      </w:r>
      <w:r w:rsidRPr="00F1103D">
        <w:rPr>
          <w:rFonts w:ascii="Palatino Linotype" w:hAnsi="Palatino Linotype" w:cs="Arial"/>
          <w:i/>
        </w:rPr>
        <w:t>WA</w:t>
      </w:r>
      <w:r w:rsidRPr="00F1103D">
        <w:rPr>
          <w:rFonts w:ascii="Palatino Linotype" w:hAnsi="Palatino Linotype" w:cs="Arial"/>
        </w:rPr>
        <w:t>: 66.</w:t>
      </w:r>
    </w:p>
  </w:footnote>
  <w:footnote w:id="60">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w:t>
      </w:r>
      <w:r w:rsidRPr="00F1103D">
        <w:rPr>
          <w:rFonts w:ascii="Palatino Linotype" w:hAnsi="Palatino Linotype"/>
          <w:i/>
        </w:rPr>
        <w:t>MH</w:t>
      </w:r>
      <w:r w:rsidRPr="00F1103D">
        <w:rPr>
          <w:rFonts w:ascii="Palatino Linotype" w:hAnsi="Palatino Linotype"/>
        </w:rPr>
        <w:t xml:space="preserve"> (1842): 114.</w:t>
      </w:r>
    </w:p>
  </w:footnote>
  <w:footnote w:id="61">
    <w:p w:rsidR="00D42FBF" w:rsidRPr="00F1103D" w:rsidRDefault="00D42FBF" w:rsidP="001761FF">
      <w:pPr>
        <w:ind w:left="90" w:hanging="90"/>
        <w:jc w:val="both"/>
        <w:rPr>
          <w:rFonts w:ascii="Palatino Linotype" w:hAnsi="Palatino Linotype"/>
          <w:sz w:val="20"/>
          <w:szCs w:val="20"/>
        </w:rPr>
      </w:pPr>
      <w:r w:rsidRPr="00F1103D">
        <w:rPr>
          <w:rStyle w:val="FootnoteReference"/>
          <w:rFonts w:ascii="Palatino Linotype" w:hAnsi="Palatino Linotype"/>
          <w:sz w:val="20"/>
          <w:szCs w:val="20"/>
        </w:rPr>
        <w:footnoteRef/>
      </w:r>
      <w:r w:rsidRPr="00F1103D">
        <w:rPr>
          <w:rFonts w:ascii="Palatino Linotype" w:hAnsi="Palatino Linotype"/>
          <w:sz w:val="20"/>
          <w:szCs w:val="20"/>
        </w:rPr>
        <w:t xml:space="preserve"> Henrietta Smith, ‘Letter to Brother’ (Beirut, 27 November [1848]): YDS: ES Box 1: Folder 17; Jessup, </w:t>
      </w:r>
      <w:r w:rsidRPr="00F1103D">
        <w:rPr>
          <w:rFonts w:ascii="Palatino Linotype" w:hAnsi="Palatino Linotype"/>
          <w:i/>
          <w:sz w:val="20"/>
          <w:szCs w:val="20"/>
        </w:rPr>
        <w:t>WA</w:t>
      </w:r>
      <w:r w:rsidRPr="00F1103D">
        <w:rPr>
          <w:rFonts w:ascii="Palatino Linotype" w:hAnsi="Palatino Linotype"/>
          <w:sz w:val="20"/>
          <w:szCs w:val="20"/>
        </w:rPr>
        <w:t>: 74.</w:t>
      </w:r>
    </w:p>
  </w:footnote>
  <w:footnote w:id="62">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Eli Smith, ‘Letter to My Dear Parents [Mr. and Mrs. Lanman]’ (Beirut, 7 June 1842): YDS: ES Box 6: Folder 2. </w:t>
      </w:r>
    </w:p>
  </w:footnote>
  <w:footnote w:id="63">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Similar sentiments were presented as justifications for a contemporary Nestorian (Assyrian) Protestant, Oshana, to wed another Protestant, Sarah. This suggests that the emerging role for educated woman to be wives and housekeepers was part of a larger trend within missionary encounters and other ‘civilising’ reforms. Murre-van den Berg, ‘Dear Mother of My Soul’: 43-44; Robert, </w:t>
      </w:r>
      <w:r w:rsidRPr="00F1103D">
        <w:rPr>
          <w:rFonts w:ascii="Palatino Linotype" w:hAnsi="Palatino Linotype"/>
          <w:i/>
        </w:rPr>
        <w:t>American Women in Mission</w:t>
      </w:r>
      <w:r w:rsidRPr="00F1103D">
        <w:rPr>
          <w:rFonts w:ascii="Palatino Linotype" w:hAnsi="Palatino Linotype"/>
        </w:rPr>
        <w:t xml:space="preserve">: 111-114; Stockdale, </w:t>
      </w:r>
      <w:r w:rsidRPr="00F1103D">
        <w:rPr>
          <w:rFonts w:ascii="Palatino Linotype" w:hAnsi="Palatino Linotype"/>
          <w:i/>
        </w:rPr>
        <w:t>Colonial Encounters</w:t>
      </w:r>
      <w:r w:rsidRPr="00F1103D">
        <w:rPr>
          <w:rFonts w:ascii="Palatino Linotype" w:hAnsi="Palatino Linotype"/>
        </w:rPr>
        <w:t>: 135; Jane Haggis, ‘“Good Wives and Mothers” or “Dedicated Workers”: Contradictions of Domesticity in the “Mission of Sisterhood”, Travancore South India’, in: K. Ram and M. Jolly (eds.),</w:t>
      </w:r>
      <w:r w:rsidRPr="00F1103D">
        <w:rPr>
          <w:rFonts w:ascii="Palatino Linotype" w:hAnsi="Palatino Linotype"/>
          <w:i/>
        </w:rPr>
        <w:t xml:space="preserve"> Maternities and Modernities: Colonial and Postcolonial Experiences in Asia and the Pacific,</w:t>
      </w:r>
      <w:r w:rsidRPr="00F1103D">
        <w:rPr>
          <w:rFonts w:ascii="Palatino Linotype" w:hAnsi="Palatino Linotype"/>
        </w:rPr>
        <w:t>(Cambridge: Cambridge University Press, 1998): 81-106.</w:t>
      </w:r>
    </w:p>
  </w:footnote>
  <w:footnote w:id="64">
    <w:p w:rsidR="00D42FBF" w:rsidRPr="00F1103D" w:rsidRDefault="00D42FBF" w:rsidP="001761FF">
      <w:pPr>
        <w:ind w:left="90" w:hanging="90"/>
        <w:jc w:val="both"/>
        <w:rPr>
          <w:rFonts w:ascii="Palatino Linotype" w:hAnsi="Palatino Linotype"/>
          <w:sz w:val="20"/>
          <w:szCs w:val="20"/>
          <w:u w:val="single"/>
        </w:rPr>
      </w:pPr>
      <w:r w:rsidRPr="00F1103D">
        <w:rPr>
          <w:rStyle w:val="FootnoteReference"/>
          <w:rFonts w:ascii="Palatino Linotype" w:hAnsi="Palatino Linotype"/>
          <w:sz w:val="20"/>
          <w:szCs w:val="20"/>
        </w:rPr>
        <w:footnoteRef/>
      </w:r>
      <w:r w:rsidRPr="00F1103D">
        <w:rPr>
          <w:rFonts w:ascii="Palatino Linotype" w:hAnsi="Palatino Linotype"/>
          <w:sz w:val="20"/>
          <w:szCs w:val="20"/>
        </w:rPr>
        <w:t xml:space="preserve"> Butrus Al-Bustani, ‘Khitab fi T</w:t>
      </w:r>
      <w:r w:rsidRPr="00F1103D">
        <w:rPr>
          <w:rFonts w:ascii="Palatino Linotype" w:hAnsi="Palatino Linotype"/>
          <w:sz w:val="22"/>
          <w:szCs w:val="22"/>
        </w:rPr>
        <w:t>‛</w:t>
      </w:r>
      <w:r w:rsidRPr="00F1103D">
        <w:rPr>
          <w:rFonts w:ascii="Palatino Linotype" w:hAnsi="Palatino Linotype"/>
          <w:sz w:val="20"/>
          <w:szCs w:val="20"/>
        </w:rPr>
        <w:t xml:space="preserve">alim al-Nisa’ [1849], in Y. Qizma Khuri (ed.), </w:t>
      </w:r>
      <w:r w:rsidRPr="00F1103D">
        <w:rPr>
          <w:rFonts w:ascii="Palatino Linotype" w:hAnsi="Palatino Linotype"/>
          <w:i/>
          <w:sz w:val="20"/>
          <w:szCs w:val="20"/>
        </w:rPr>
        <w:t>A</w:t>
      </w:r>
      <w:r w:rsidRPr="00F1103D">
        <w:rPr>
          <w:rFonts w:ascii="Palatino Linotype" w:hAnsi="Palatino Linotype"/>
          <w:sz w:val="22"/>
          <w:szCs w:val="22"/>
        </w:rPr>
        <w:t>‛</w:t>
      </w:r>
      <w:r w:rsidRPr="00F1103D">
        <w:rPr>
          <w:rFonts w:ascii="Palatino Linotype" w:hAnsi="Palatino Linotype"/>
          <w:i/>
          <w:sz w:val="20"/>
          <w:szCs w:val="20"/>
        </w:rPr>
        <w:t>mal al-Jam</w:t>
      </w:r>
      <w:r w:rsidRPr="00F1103D">
        <w:rPr>
          <w:rFonts w:ascii="Palatino Linotype" w:hAnsi="Palatino Linotype"/>
          <w:sz w:val="22"/>
          <w:szCs w:val="22"/>
        </w:rPr>
        <w:t>’</w:t>
      </w:r>
      <w:r w:rsidRPr="00F1103D">
        <w:rPr>
          <w:rFonts w:ascii="Palatino Linotype" w:hAnsi="Palatino Linotype"/>
          <w:i/>
          <w:sz w:val="20"/>
          <w:szCs w:val="20"/>
        </w:rPr>
        <w:t>iyah al-Suriyah lil-</w:t>
      </w:r>
      <w:r w:rsidRPr="00F1103D">
        <w:rPr>
          <w:rFonts w:ascii="Palatino Linotype" w:hAnsi="Palatino Linotype"/>
          <w:sz w:val="22"/>
          <w:szCs w:val="22"/>
        </w:rPr>
        <w:t>‛</w:t>
      </w:r>
      <w:r w:rsidRPr="00F1103D">
        <w:rPr>
          <w:rFonts w:ascii="Palatino Linotype" w:hAnsi="Palatino Linotype"/>
          <w:i/>
          <w:sz w:val="20"/>
          <w:szCs w:val="20"/>
        </w:rPr>
        <w:t>Ulum wal-Funun, 1847-1852</w:t>
      </w:r>
      <w:r w:rsidRPr="00F1103D">
        <w:rPr>
          <w:rFonts w:ascii="Palatino Linotype" w:hAnsi="Palatino Linotype"/>
          <w:sz w:val="20"/>
          <w:szCs w:val="20"/>
        </w:rPr>
        <w:t xml:space="preserve"> (Beirut, 1990): 45-53. </w:t>
      </w:r>
    </w:p>
  </w:footnote>
  <w:footnote w:id="65">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w:t>
      </w:r>
      <w:r w:rsidRPr="00F1103D">
        <w:rPr>
          <w:rFonts w:ascii="Palatino Linotype" w:hAnsi="Palatino Linotype" w:cs="Arial"/>
          <w:color w:val="000000"/>
        </w:rPr>
        <w:t xml:space="preserve">Translated in Jessup, </w:t>
      </w:r>
      <w:r w:rsidRPr="00F1103D">
        <w:rPr>
          <w:rFonts w:ascii="Palatino Linotype" w:hAnsi="Palatino Linotype" w:cs="Arial"/>
          <w:i/>
          <w:color w:val="000000"/>
        </w:rPr>
        <w:t>WA</w:t>
      </w:r>
      <w:r w:rsidRPr="00F1103D">
        <w:rPr>
          <w:rFonts w:ascii="Palatino Linotype" w:hAnsi="Palatino Linotype" w:cs="Arial"/>
          <w:color w:val="000000"/>
        </w:rPr>
        <w:t>: 161.</w:t>
      </w:r>
    </w:p>
  </w:footnote>
  <w:footnote w:id="66">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See Appendix IV.</w:t>
      </w:r>
    </w:p>
  </w:footnote>
  <w:footnote w:id="67">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See Appendix I:A and III:A. Smith, ‘Letter to Sister’ (Beirut, 31 August 1851); </w:t>
      </w:r>
      <w:r w:rsidRPr="00F1103D">
        <w:rPr>
          <w:rFonts w:ascii="Palatino Linotype" w:hAnsi="Palatino Linotype"/>
          <w:i/>
        </w:rPr>
        <w:t>MH</w:t>
      </w:r>
      <w:r w:rsidRPr="00F1103D">
        <w:rPr>
          <w:rFonts w:ascii="Palatino Linotype" w:hAnsi="Palatino Linotype"/>
        </w:rPr>
        <w:t xml:space="preserve"> (1835): 46-53; Henrietta Smith, ‘Letter to Husband’ (Bhamdoun, 31 July 1856): YDS:  ES Box 2: Folder 1.</w:t>
      </w:r>
    </w:p>
  </w:footnote>
  <w:footnote w:id="68">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Sarah Smith, ‘Letter to Rebecca Williams’ (Beirut, 5 August 1835): HHL: ABC 6 (110). </w:t>
      </w:r>
    </w:p>
  </w:footnote>
  <w:footnote w:id="69">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Smith, ‘Letter to Parents’ (Beirut: 30 May 1842).</w:t>
      </w:r>
    </w:p>
  </w:footnote>
  <w:footnote w:id="70">
    <w:p w:rsidR="00D42FBF" w:rsidRPr="00F1103D" w:rsidRDefault="00D42FBF" w:rsidP="001761FF">
      <w:pPr>
        <w:pStyle w:val="FootnoteText"/>
        <w:ind w:left="90" w:hanging="90"/>
        <w:jc w:val="both"/>
        <w:rPr>
          <w:rFonts w:ascii="Palatino Linotype" w:hAnsi="Palatino Linotype" w:cs="Arial"/>
          <w:color w:val="000000"/>
        </w:rPr>
      </w:pPr>
      <w:r w:rsidRPr="00F1103D">
        <w:rPr>
          <w:rStyle w:val="FootnoteReference"/>
          <w:rFonts w:ascii="Palatino Linotype" w:hAnsi="Palatino Linotype"/>
        </w:rPr>
        <w:footnoteRef/>
      </w:r>
      <w:r w:rsidRPr="00F1103D">
        <w:rPr>
          <w:rFonts w:ascii="Palatino Linotype" w:hAnsi="Palatino Linotype"/>
        </w:rPr>
        <w:t xml:space="preserve"> </w:t>
      </w:r>
      <w:r w:rsidRPr="00F1103D">
        <w:rPr>
          <w:rFonts w:ascii="Palatino Linotype" w:hAnsi="Palatino Linotype" w:cs="Arial"/>
          <w:color w:val="000000"/>
        </w:rPr>
        <w:t>Henrietta Smith, ‘Incomplete Letter’ (n.s., May 1850): YDS: ES Box 1: Folder 20.</w:t>
      </w:r>
    </w:p>
  </w:footnote>
  <w:footnote w:id="71">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w:t>
      </w:r>
      <w:r w:rsidRPr="00F1103D">
        <w:rPr>
          <w:rFonts w:ascii="Palatino Linotype" w:hAnsi="Palatino Linotype" w:cs="Arial"/>
          <w:color w:val="000000"/>
        </w:rPr>
        <w:t xml:space="preserve">Hooker, </w:t>
      </w:r>
      <w:r w:rsidRPr="00F1103D">
        <w:rPr>
          <w:rFonts w:ascii="Palatino Linotype" w:hAnsi="Palatino Linotype" w:cs="Arial"/>
          <w:i/>
          <w:color w:val="000000"/>
        </w:rPr>
        <w:t>MSLS</w:t>
      </w:r>
      <w:r w:rsidRPr="00F1103D">
        <w:rPr>
          <w:rFonts w:ascii="Palatino Linotype" w:hAnsi="Palatino Linotype" w:cs="Arial"/>
          <w:color w:val="000000"/>
        </w:rPr>
        <w:t>: 140-141.</w:t>
      </w:r>
    </w:p>
  </w:footnote>
  <w:footnote w:id="72">
    <w:p w:rsidR="00D42FBF" w:rsidRPr="00F1103D" w:rsidRDefault="00D42FBF" w:rsidP="001761FF">
      <w:pPr>
        <w:pStyle w:val="FootnoteText"/>
        <w:ind w:left="90" w:hanging="90"/>
        <w:jc w:val="both"/>
        <w:rPr>
          <w:rFonts w:ascii="Palatino Linotype" w:hAnsi="Palatino Linotype" w:cs="Arial"/>
          <w:color w:val="000000"/>
        </w:rPr>
      </w:pPr>
      <w:r w:rsidRPr="00F1103D">
        <w:rPr>
          <w:rStyle w:val="FootnoteReference"/>
          <w:rFonts w:ascii="Palatino Linotype" w:hAnsi="Palatino Linotype"/>
        </w:rPr>
        <w:footnoteRef/>
      </w:r>
      <w:r w:rsidRPr="00F1103D">
        <w:rPr>
          <w:rFonts w:ascii="Palatino Linotype" w:hAnsi="Palatino Linotype"/>
        </w:rPr>
        <w:t xml:space="preserve"> </w:t>
      </w:r>
      <w:r w:rsidRPr="00F1103D">
        <w:rPr>
          <w:rFonts w:ascii="Palatino Linotype" w:hAnsi="Palatino Linotype" w:cs="Arial"/>
          <w:color w:val="000000"/>
        </w:rPr>
        <w:t>Sarah Smith, ‘Letter to Matilda Whiting’ (Beirut, 4 June 1835): HHL: ABC 60 (110).</w:t>
      </w:r>
    </w:p>
  </w:footnote>
  <w:footnote w:id="73">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This change was the result of Rufus Andersons’ visit in 1854.</w:t>
      </w:r>
    </w:p>
  </w:footnote>
  <w:footnote w:id="74">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w:t>
      </w:r>
      <w:r w:rsidRPr="00F1103D">
        <w:rPr>
          <w:rFonts w:ascii="Palatino Linotype" w:hAnsi="Palatino Linotype" w:cs="Arial"/>
          <w:color w:val="000000"/>
        </w:rPr>
        <w:t xml:space="preserve">DeForest, ‘Journal’; </w:t>
      </w:r>
      <w:r w:rsidRPr="00F1103D">
        <w:rPr>
          <w:rFonts w:ascii="Palatino Linotype" w:hAnsi="Palatino Linotype"/>
        </w:rPr>
        <w:t xml:space="preserve">Bliss, </w:t>
      </w:r>
      <w:r w:rsidRPr="00F1103D">
        <w:rPr>
          <w:rFonts w:ascii="Palatino Linotype" w:hAnsi="Palatino Linotype"/>
          <w:i/>
        </w:rPr>
        <w:t>RDS</w:t>
      </w:r>
      <w:r w:rsidRPr="00F1103D">
        <w:rPr>
          <w:rFonts w:ascii="Palatino Linotype" w:hAnsi="Palatino Linotype"/>
        </w:rPr>
        <w:t>: 120.</w:t>
      </w:r>
    </w:p>
  </w:footnote>
  <w:footnote w:id="75">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Smith, ‘Letter to Sister’ (Beirut, 20 February 1847).</w:t>
      </w:r>
    </w:p>
  </w:footnote>
  <w:footnote w:id="76">
    <w:p w:rsidR="00D42FBF" w:rsidRPr="00F1103D" w:rsidRDefault="00D42FBF" w:rsidP="001761FF">
      <w:pPr>
        <w:ind w:left="90" w:hanging="90"/>
        <w:jc w:val="both"/>
        <w:rPr>
          <w:rFonts w:ascii="Palatino Linotype" w:hAnsi="Palatino Linotype"/>
          <w:sz w:val="20"/>
          <w:szCs w:val="20"/>
        </w:rPr>
      </w:pPr>
      <w:r w:rsidRPr="00F1103D">
        <w:rPr>
          <w:rStyle w:val="FootnoteReference"/>
          <w:rFonts w:ascii="Palatino Linotype" w:hAnsi="Palatino Linotype"/>
          <w:sz w:val="20"/>
          <w:szCs w:val="20"/>
        </w:rPr>
        <w:footnoteRef/>
      </w:r>
      <w:r w:rsidRPr="00F1103D">
        <w:rPr>
          <w:rFonts w:ascii="Palatino Linotype" w:hAnsi="Palatino Linotype"/>
          <w:sz w:val="20"/>
          <w:szCs w:val="20"/>
        </w:rPr>
        <w:t xml:space="preserve"> Smith, ‘Letter to Sister’ (Beirut, 20 February 1847).</w:t>
      </w:r>
    </w:p>
  </w:footnote>
  <w:footnote w:id="77">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Smith, ‘Letter to Sister’ (Beirut, 31 August 1851). </w:t>
      </w:r>
    </w:p>
  </w:footnote>
  <w:footnote w:id="78">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Smith, ‘Letter to Sisters’ (Beirut, 1 May 1850).</w:t>
      </w:r>
    </w:p>
  </w:footnote>
  <w:footnote w:id="79">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Smith, ‘Letter to Sister’ (Beirut, 31 August 1851).</w:t>
      </w:r>
    </w:p>
  </w:footnote>
  <w:footnote w:id="80">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Abby Bliss in Bliss, </w:t>
      </w:r>
      <w:r w:rsidRPr="00F1103D">
        <w:rPr>
          <w:rFonts w:ascii="Palatino Linotype" w:hAnsi="Palatino Linotype"/>
          <w:i/>
        </w:rPr>
        <w:t>RDS</w:t>
      </w:r>
      <w:r w:rsidRPr="00F1103D">
        <w:rPr>
          <w:rFonts w:ascii="Palatino Linotype" w:hAnsi="Palatino Linotype"/>
        </w:rPr>
        <w:t>: 129-130.</w:t>
      </w:r>
    </w:p>
  </w:footnote>
  <w:footnote w:id="81">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Thomson,</w:t>
      </w:r>
      <w:r w:rsidRPr="00F1103D">
        <w:rPr>
          <w:rFonts w:ascii="Palatino Linotype" w:hAnsi="Palatino Linotype"/>
          <w:i/>
        </w:rPr>
        <w:t xml:space="preserve"> LB</w:t>
      </w:r>
      <w:r w:rsidRPr="00F1103D">
        <w:rPr>
          <w:rFonts w:ascii="Palatino Linotype" w:hAnsi="Palatino Linotype"/>
        </w:rPr>
        <w:t>: 287.</w:t>
      </w:r>
    </w:p>
  </w:footnote>
  <w:footnote w:id="82">
    <w:p w:rsidR="00D42FBF" w:rsidRPr="00F1103D" w:rsidRDefault="00D42FBF" w:rsidP="001761FF">
      <w:pPr>
        <w:ind w:left="90" w:hanging="90"/>
        <w:jc w:val="both"/>
        <w:rPr>
          <w:rFonts w:ascii="Palatino Linotype" w:hAnsi="Palatino Linotype" w:cs="Arial"/>
          <w:sz w:val="20"/>
          <w:szCs w:val="20"/>
        </w:rPr>
      </w:pPr>
      <w:r w:rsidRPr="00F1103D">
        <w:rPr>
          <w:rStyle w:val="FootnoteReference"/>
          <w:rFonts w:ascii="Palatino Linotype" w:hAnsi="Palatino Linotype"/>
          <w:sz w:val="20"/>
          <w:szCs w:val="20"/>
        </w:rPr>
        <w:footnoteRef/>
      </w:r>
      <w:r w:rsidRPr="00F1103D">
        <w:rPr>
          <w:rFonts w:ascii="Palatino Linotype" w:hAnsi="Palatino Linotype"/>
          <w:sz w:val="20"/>
          <w:szCs w:val="20"/>
        </w:rPr>
        <w:t xml:space="preserve"> Smith, ‘Letter to Sister’ (Beirut, 31 August 1851); Smith, ‘Letter to Brother [Isaac] Bird’ (Beirut, 27 November 1850); Thomson,</w:t>
      </w:r>
      <w:r w:rsidRPr="00F1103D">
        <w:rPr>
          <w:rFonts w:ascii="Palatino Linotype" w:hAnsi="Palatino Linotype"/>
          <w:i/>
          <w:sz w:val="20"/>
          <w:szCs w:val="20"/>
        </w:rPr>
        <w:t xml:space="preserve"> LB</w:t>
      </w:r>
      <w:r w:rsidRPr="00F1103D">
        <w:rPr>
          <w:rFonts w:ascii="Palatino Linotype" w:hAnsi="Palatino Linotype"/>
          <w:sz w:val="20"/>
          <w:szCs w:val="20"/>
        </w:rPr>
        <w:t>: 22.</w:t>
      </w:r>
    </w:p>
  </w:footnote>
  <w:footnote w:id="83">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Henrietta Smith, ‘Letter to Husband’ (n.s., 27 June [1856]): YDS: ES Box 2: Folder 1; Henrietta Smith, ‘Letter to Husband’ (Bhamdoun, 11 July 1856): YDS: ES Box 2: Folder 1; Henrietta Smith, ‘Letter to Husband’ (Bhamdoun, 19 July 1856): YDS: ES Box 2: Folder 1; Smith, ‘Letter to Husband’ (Bhamdoun, 31 July 1856).</w:t>
      </w:r>
    </w:p>
  </w:footnote>
  <w:footnote w:id="84">
    <w:p w:rsidR="00D42FBF" w:rsidRPr="00F1103D" w:rsidRDefault="00D42FBF" w:rsidP="001761FF">
      <w:pPr>
        <w:ind w:left="90" w:hanging="90"/>
        <w:jc w:val="both"/>
        <w:rPr>
          <w:rFonts w:ascii="Palatino Linotype" w:hAnsi="Palatino Linotype"/>
          <w:sz w:val="20"/>
          <w:szCs w:val="20"/>
        </w:rPr>
      </w:pPr>
      <w:r w:rsidRPr="00F1103D">
        <w:rPr>
          <w:rStyle w:val="FootnoteReference"/>
          <w:rFonts w:ascii="Palatino Linotype" w:hAnsi="Palatino Linotype"/>
          <w:sz w:val="20"/>
          <w:szCs w:val="20"/>
        </w:rPr>
        <w:footnoteRef/>
      </w:r>
      <w:r w:rsidRPr="00F1103D">
        <w:rPr>
          <w:rFonts w:ascii="Palatino Linotype" w:hAnsi="Palatino Linotype"/>
          <w:sz w:val="20"/>
          <w:szCs w:val="20"/>
        </w:rPr>
        <w:t xml:space="preserve"> Henrietta Smith, ‘Letter to Husband’ (Bhamdoun, 24 July 1856): YDS: ES Box 2: Folder 1.</w:t>
      </w:r>
    </w:p>
  </w:footnote>
  <w:footnote w:id="85">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Although Henry Harris Jessup was very verbose about his activities, his relationship with Caroline during her illness was only briefly mentioned in his public writings, while large sections of his private diaries have been removed. See YDS: HHJ Box 2, 6 and 8.</w:t>
      </w:r>
    </w:p>
  </w:footnote>
  <w:footnote w:id="86">
    <w:p w:rsidR="00D42FBF" w:rsidRPr="00F1103D" w:rsidRDefault="00D42FBF" w:rsidP="001761FF">
      <w:pPr>
        <w:ind w:left="90" w:hanging="90"/>
        <w:jc w:val="both"/>
        <w:rPr>
          <w:rFonts w:ascii="Palatino Linotype" w:hAnsi="Palatino Linotype"/>
          <w:sz w:val="20"/>
          <w:szCs w:val="20"/>
        </w:rPr>
      </w:pPr>
      <w:r w:rsidRPr="00F1103D">
        <w:rPr>
          <w:rStyle w:val="FootnoteReference"/>
          <w:rFonts w:ascii="Palatino Linotype" w:hAnsi="Palatino Linotype"/>
          <w:sz w:val="20"/>
          <w:szCs w:val="20"/>
        </w:rPr>
        <w:footnoteRef/>
      </w:r>
      <w:r w:rsidRPr="00F1103D">
        <w:rPr>
          <w:rFonts w:ascii="Palatino Linotype" w:hAnsi="Palatino Linotype"/>
          <w:sz w:val="20"/>
          <w:szCs w:val="20"/>
        </w:rPr>
        <w:t xml:space="preserve"> Smith, ‘Letter to Rufus Anderson’ (Beirut, 19 October 1855).</w:t>
      </w:r>
    </w:p>
  </w:footnote>
  <w:footnote w:id="87">
    <w:p w:rsidR="00D42FBF" w:rsidRPr="00F1103D" w:rsidRDefault="00D42FBF" w:rsidP="001761FF">
      <w:pPr>
        <w:ind w:left="90" w:hanging="90"/>
        <w:jc w:val="both"/>
        <w:rPr>
          <w:rFonts w:ascii="Palatino Linotype" w:hAnsi="Palatino Linotype"/>
          <w:sz w:val="20"/>
          <w:szCs w:val="20"/>
        </w:rPr>
      </w:pPr>
      <w:r w:rsidRPr="00F1103D">
        <w:rPr>
          <w:rStyle w:val="FootnoteReference"/>
          <w:rFonts w:ascii="Palatino Linotype" w:hAnsi="Palatino Linotype"/>
          <w:sz w:val="20"/>
          <w:szCs w:val="20"/>
        </w:rPr>
        <w:footnoteRef/>
      </w:r>
      <w:r w:rsidRPr="00F1103D">
        <w:rPr>
          <w:rFonts w:ascii="Palatino Linotype" w:hAnsi="Palatino Linotype"/>
          <w:sz w:val="20"/>
          <w:szCs w:val="20"/>
        </w:rPr>
        <w:t xml:space="preserve"> </w:t>
      </w:r>
      <w:r w:rsidRPr="00F1103D">
        <w:rPr>
          <w:rFonts w:ascii="Palatino Linotype" w:hAnsi="Palatino Linotype" w:cs="Arial"/>
          <w:sz w:val="20"/>
          <w:szCs w:val="20"/>
        </w:rPr>
        <w:t xml:space="preserve">Caroline Jessup, ‘Letter to Brother Samuel, </w:t>
      </w:r>
      <w:r w:rsidRPr="00F1103D">
        <w:rPr>
          <w:rFonts w:ascii="Palatino Linotype" w:hAnsi="Palatino Linotype"/>
          <w:sz w:val="20"/>
          <w:szCs w:val="20"/>
        </w:rPr>
        <w:t>[attached to Henry Harris Jessup]’</w:t>
      </w:r>
      <w:r w:rsidRPr="00F1103D">
        <w:rPr>
          <w:rFonts w:ascii="Palatino Linotype" w:hAnsi="Palatino Linotype" w:cs="Arial"/>
          <w:sz w:val="20"/>
          <w:szCs w:val="20"/>
        </w:rPr>
        <w:t xml:space="preserve"> (Duma, 18 January 1859):</w:t>
      </w:r>
      <w:r w:rsidRPr="00F1103D">
        <w:rPr>
          <w:rFonts w:ascii="Palatino Linotype" w:hAnsi="Palatino Linotype"/>
          <w:sz w:val="20"/>
          <w:szCs w:val="20"/>
        </w:rPr>
        <w:t xml:space="preserve"> YDS: HHJ Box 1: Folder 6.</w:t>
      </w:r>
    </w:p>
  </w:footnote>
  <w:footnote w:id="88">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Compare with Bliss, </w:t>
      </w:r>
      <w:r w:rsidRPr="00F1103D">
        <w:rPr>
          <w:rFonts w:ascii="Palatino Linotype" w:hAnsi="Palatino Linotype"/>
          <w:i/>
        </w:rPr>
        <w:t xml:space="preserve">RDB: 99; </w:t>
      </w:r>
      <w:r w:rsidRPr="00F1103D">
        <w:rPr>
          <w:rFonts w:ascii="Palatino Linotype" w:hAnsi="Palatino Linotype"/>
        </w:rPr>
        <w:t xml:space="preserve">Hooker, </w:t>
      </w:r>
      <w:r w:rsidRPr="00F1103D">
        <w:rPr>
          <w:rFonts w:ascii="Palatino Linotype" w:hAnsi="Palatino Linotype"/>
          <w:i/>
        </w:rPr>
        <w:t>MSLS</w:t>
      </w:r>
      <w:r w:rsidRPr="00F1103D">
        <w:rPr>
          <w:rFonts w:ascii="Palatino Linotype" w:hAnsi="Palatino Linotype"/>
        </w:rPr>
        <w:t xml:space="preserve">: 198-199. </w:t>
      </w:r>
    </w:p>
  </w:footnote>
  <w:footnote w:id="89">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Murre-van den Berg, ‘Dear Mother of my Soul’, 37; </w:t>
      </w:r>
      <w:r w:rsidRPr="00F1103D">
        <w:rPr>
          <w:rFonts w:ascii="Palatino Linotype" w:hAnsi="Palatino Linotype"/>
          <w:color w:val="000000"/>
        </w:rPr>
        <w:t>Booth, ‘She Herself was the Ultimate Rule’: 427-448</w:t>
      </w:r>
      <w:r w:rsidRPr="00F1103D">
        <w:rPr>
          <w:rFonts w:ascii="Palatino Linotype" w:hAnsi="Palatino Linotype"/>
        </w:rPr>
        <w:t xml:space="preserve">; </w:t>
      </w:r>
      <w:r w:rsidRPr="00F1103D">
        <w:rPr>
          <w:rFonts w:ascii="Palatino Linotype" w:hAnsi="Palatino Linotype"/>
          <w:color w:val="000000"/>
        </w:rPr>
        <w:t>Fleischmann, ‘Our Moslem Sisters’: 307-323;</w:t>
      </w:r>
      <w:r w:rsidRPr="00F1103D">
        <w:rPr>
          <w:rFonts w:ascii="Palatino Linotype" w:hAnsi="Palatino Linotype"/>
        </w:rPr>
        <w:t xml:space="preserve"> </w:t>
      </w:r>
      <w:r w:rsidRPr="00F1103D">
        <w:rPr>
          <w:rFonts w:ascii="Palatino Linotype" w:hAnsi="Palatino Linotype"/>
          <w:color w:val="000000"/>
        </w:rPr>
        <w:t>Fleischmann, ‘The Impact of American Protestant Missions’: 411-426.</w:t>
      </w:r>
    </w:p>
  </w:footnote>
  <w:footnote w:id="90">
    <w:p w:rsidR="00D42FBF" w:rsidRPr="00F1103D" w:rsidRDefault="00D42FBF" w:rsidP="001761FF">
      <w:pPr>
        <w:pStyle w:val="FootnoteText"/>
        <w:ind w:left="90" w:hanging="90"/>
        <w:jc w:val="both"/>
        <w:rPr>
          <w:rFonts w:ascii="Palatino Linotype" w:hAnsi="Palatino Linotype"/>
          <w:b/>
        </w:rPr>
      </w:pPr>
      <w:r w:rsidRPr="00F1103D">
        <w:rPr>
          <w:rStyle w:val="FootnoteReference"/>
          <w:rFonts w:ascii="Palatino Linotype" w:hAnsi="Palatino Linotype"/>
        </w:rPr>
        <w:footnoteRef/>
      </w:r>
      <w:r w:rsidRPr="00F1103D">
        <w:rPr>
          <w:rFonts w:ascii="Palatino Linotype" w:hAnsi="Palatino Linotype"/>
        </w:rPr>
        <w:t xml:space="preserve"> Smith, ‘Letter to Sister’ (Beirut, 15 March 1847).</w:t>
      </w:r>
    </w:p>
  </w:footnote>
  <w:footnote w:id="91">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w:t>
      </w:r>
      <w:r w:rsidRPr="00F1103D">
        <w:rPr>
          <w:rFonts w:ascii="Palatino Linotype" w:hAnsi="Palatino Linotype" w:cs="Arial"/>
          <w:i/>
        </w:rPr>
        <w:t>MH</w:t>
      </w:r>
      <w:r w:rsidRPr="00F1103D">
        <w:rPr>
          <w:rFonts w:ascii="Palatino Linotype" w:hAnsi="Palatino Linotype" w:cs="Arial"/>
        </w:rPr>
        <w:t xml:space="preserve"> (1828): 51.</w:t>
      </w:r>
    </w:p>
  </w:footnote>
  <w:footnote w:id="92">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w:t>
      </w:r>
      <w:r w:rsidRPr="00F1103D">
        <w:rPr>
          <w:rFonts w:ascii="Palatino Linotype" w:hAnsi="Palatino Linotype" w:cs="Arial"/>
          <w:i/>
        </w:rPr>
        <w:t>MH</w:t>
      </w:r>
      <w:r w:rsidRPr="00F1103D">
        <w:rPr>
          <w:rFonts w:ascii="Palatino Linotype" w:hAnsi="Palatino Linotype" w:cs="Arial"/>
        </w:rPr>
        <w:t xml:space="preserve"> (1850): 258; Jessup, </w:t>
      </w:r>
      <w:r w:rsidRPr="00F1103D">
        <w:rPr>
          <w:rFonts w:ascii="Palatino Linotype" w:hAnsi="Palatino Linotype" w:cs="Arial"/>
          <w:i/>
        </w:rPr>
        <w:t>WA</w:t>
      </w:r>
      <w:r w:rsidRPr="00F1103D">
        <w:rPr>
          <w:rFonts w:ascii="Palatino Linotype" w:hAnsi="Palatino Linotype" w:cs="Arial"/>
        </w:rPr>
        <w:t xml:space="preserve">: 57; ABCFM, </w:t>
      </w:r>
      <w:r w:rsidRPr="00F1103D">
        <w:rPr>
          <w:rFonts w:ascii="Palatino Linotype" w:hAnsi="Palatino Linotype" w:cs="Arial"/>
          <w:i/>
        </w:rPr>
        <w:t>Station Report</w:t>
      </w:r>
      <w:r w:rsidRPr="00F1103D">
        <w:rPr>
          <w:rFonts w:ascii="Palatino Linotype" w:hAnsi="Palatino Linotype" w:cs="Arial"/>
        </w:rPr>
        <w:t xml:space="preserve"> (Beirut, 1850).</w:t>
      </w:r>
    </w:p>
  </w:footnote>
  <w:footnote w:id="93">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w:t>
      </w:r>
      <w:r w:rsidRPr="00F1103D">
        <w:rPr>
          <w:rFonts w:ascii="Palatino Linotype" w:hAnsi="Palatino Linotype" w:cs="Arial"/>
        </w:rPr>
        <w:t xml:space="preserve">Hooker, </w:t>
      </w:r>
      <w:r w:rsidRPr="00F1103D">
        <w:rPr>
          <w:rFonts w:ascii="Palatino Linotype" w:hAnsi="Palatino Linotype" w:cs="Arial"/>
          <w:i/>
        </w:rPr>
        <w:t>MSLS</w:t>
      </w:r>
      <w:r w:rsidRPr="00F1103D">
        <w:rPr>
          <w:rFonts w:ascii="Palatino Linotype" w:hAnsi="Palatino Linotype" w:cs="Arial"/>
        </w:rPr>
        <w:t>: 128.</w:t>
      </w:r>
    </w:p>
  </w:footnote>
  <w:footnote w:id="94">
    <w:p w:rsidR="00D42FBF" w:rsidRPr="00F1103D" w:rsidRDefault="00D42FBF" w:rsidP="001761FF">
      <w:pPr>
        <w:pStyle w:val="FootnoteText"/>
        <w:ind w:left="90" w:hanging="90"/>
        <w:jc w:val="both"/>
        <w:rPr>
          <w:rFonts w:ascii="Palatino Linotype" w:hAnsi="Palatino Linotype" w:cs="Arial"/>
        </w:rPr>
      </w:pPr>
      <w:r w:rsidRPr="00F1103D">
        <w:rPr>
          <w:rStyle w:val="FootnoteReference"/>
          <w:rFonts w:ascii="Palatino Linotype" w:hAnsi="Palatino Linotype"/>
        </w:rPr>
        <w:footnoteRef/>
      </w:r>
      <w:r w:rsidRPr="00F1103D">
        <w:rPr>
          <w:rFonts w:ascii="Palatino Linotype" w:hAnsi="Palatino Linotype"/>
        </w:rPr>
        <w:t xml:space="preserve"> al-Bustani, ‘Letter to Eli Smith’ (n.s., n.d.); </w:t>
      </w:r>
      <w:r w:rsidRPr="00F1103D">
        <w:rPr>
          <w:rFonts w:ascii="Palatino Linotype" w:hAnsi="Palatino Linotype" w:cs="Arial"/>
        </w:rPr>
        <w:t xml:space="preserve">Butrus al-Bustani, ‘Letter to Eli Smith’ (Souq el-Gharb, 16 August 1855): HHL: ABC 60 (12). </w:t>
      </w:r>
    </w:p>
  </w:footnote>
  <w:footnote w:id="95">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The identity of this woman is unclear. In this letter, her name appears as either ‘Um Chansour’ or ‘Um Mansour’, with the latter being the most likely name. She may be the wife of Shaheen Barakat, who was once referred as ‘Abu Mansour’, although she may be the cleaner for the Smith family, who was called ‘Im Mouchiar’. Bird, </w:t>
      </w:r>
      <w:r w:rsidRPr="00F1103D">
        <w:rPr>
          <w:rFonts w:ascii="Palatino Linotype" w:hAnsi="Palatino Linotype"/>
          <w:i/>
        </w:rPr>
        <w:t>Bible Work in Bible Lands</w:t>
      </w:r>
      <w:r w:rsidRPr="00F1103D">
        <w:rPr>
          <w:rFonts w:ascii="Palatino Linotype" w:hAnsi="Palatino Linotype"/>
        </w:rPr>
        <w:t>: 420; Smith, ‘Letter to Sister’ (Beirut, 20 February 1847).</w:t>
      </w:r>
    </w:p>
  </w:footnote>
  <w:footnote w:id="96">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Neither of these daguerreotypes were found in the ABCFM archives. For a history of photography in Lebanon see Fouad Debbas, </w:t>
      </w:r>
      <w:r w:rsidRPr="00F1103D">
        <w:rPr>
          <w:rFonts w:ascii="Palatino Linotype" w:hAnsi="Palatino Linotype"/>
          <w:i/>
        </w:rPr>
        <w:t>Mount Lebanon: Early Photographs</w:t>
      </w:r>
      <w:r w:rsidRPr="00F1103D">
        <w:rPr>
          <w:rFonts w:ascii="Palatino Linotype" w:hAnsi="Palatino Linotype"/>
        </w:rPr>
        <w:t xml:space="preserve"> (London: Folios, 1996).</w:t>
      </w:r>
    </w:p>
  </w:footnote>
  <w:footnote w:id="97">
    <w:p w:rsidR="00D42FBF" w:rsidRPr="00F1103D" w:rsidRDefault="00D42FBF" w:rsidP="001761FF">
      <w:pPr>
        <w:ind w:left="86" w:hanging="86"/>
        <w:jc w:val="both"/>
        <w:rPr>
          <w:rFonts w:ascii="Palatino Linotype" w:hAnsi="Palatino Linotype"/>
          <w:sz w:val="20"/>
          <w:szCs w:val="20"/>
        </w:rPr>
      </w:pPr>
      <w:r w:rsidRPr="00F1103D">
        <w:rPr>
          <w:rStyle w:val="FootnoteReference"/>
          <w:rFonts w:ascii="Palatino Linotype" w:hAnsi="Palatino Linotype"/>
          <w:sz w:val="20"/>
          <w:szCs w:val="20"/>
        </w:rPr>
        <w:footnoteRef/>
      </w:r>
      <w:r w:rsidRPr="00F1103D">
        <w:rPr>
          <w:rFonts w:ascii="Palatino Linotype" w:hAnsi="Palatino Linotype"/>
          <w:sz w:val="20"/>
          <w:szCs w:val="20"/>
        </w:rPr>
        <w:t xml:space="preserve"> al-Bustani, ‘Letter to Hetty Smith’ (n.s., 8 June n.d.).</w:t>
      </w:r>
    </w:p>
  </w:footnote>
  <w:footnote w:id="98">
    <w:p w:rsidR="00D42FBF" w:rsidRPr="00F1103D" w:rsidRDefault="00D42FBF" w:rsidP="001761FF">
      <w:pPr>
        <w:pStyle w:val="FootnoteText"/>
        <w:tabs>
          <w:tab w:val="left" w:pos="180"/>
        </w:tabs>
        <w:ind w:left="86" w:hanging="86"/>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w:t>
      </w:r>
      <w:r w:rsidRPr="00F1103D">
        <w:rPr>
          <w:rFonts w:ascii="Palatino Linotype" w:hAnsi="Palatino Linotype"/>
          <w:i/>
        </w:rPr>
        <w:t>MH</w:t>
      </w:r>
      <w:r w:rsidRPr="00F1103D">
        <w:rPr>
          <w:rFonts w:ascii="Palatino Linotype" w:hAnsi="Palatino Linotype"/>
        </w:rPr>
        <w:t xml:space="preserve"> (1859): 137. One account suggests that only the Arabic services were divided by gender. Robinson and Smith, </w:t>
      </w:r>
      <w:r w:rsidRPr="00F1103D">
        <w:rPr>
          <w:rFonts w:ascii="Palatino Linotype" w:hAnsi="Palatino Linotype"/>
          <w:i/>
        </w:rPr>
        <w:t>BR: III</w:t>
      </w:r>
      <w:r w:rsidRPr="00F1103D">
        <w:rPr>
          <w:rFonts w:ascii="Palatino Linotype" w:hAnsi="Palatino Linotype"/>
        </w:rPr>
        <w:t>: 26. Little information is available to determine the types of prayers performed at these female only services.</w:t>
      </w:r>
    </w:p>
  </w:footnote>
  <w:footnote w:id="99">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w:t>
      </w:r>
      <w:r w:rsidRPr="00F1103D">
        <w:rPr>
          <w:rFonts w:ascii="Palatino Linotype" w:hAnsi="Palatino Linotype" w:cs="Arial"/>
        </w:rPr>
        <w:t xml:space="preserve">Henrietta Smith, ‘Letter to Sister’ (Beirut: [late 1849]): </w:t>
      </w:r>
      <w:r w:rsidRPr="00F1103D">
        <w:rPr>
          <w:rFonts w:ascii="Palatino Linotype" w:hAnsi="Palatino Linotype"/>
        </w:rPr>
        <w:t>YDS: ES Box 1: Folder 19.</w:t>
      </w:r>
    </w:p>
  </w:footnote>
  <w:footnote w:id="100">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w:t>
      </w:r>
      <w:r w:rsidRPr="00F1103D">
        <w:rPr>
          <w:rFonts w:ascii="Palatino Linotype" w:hAnsi="Palatino Linotype" w:cs="Arial"/>
          <w:i/>
        </w:rPr>
        <w:t>MH</w:t>
      </w:r>
      <w:r w:rsidRPr="00F1103D">
        <w:rPr>
          <w:rFonts w:ascii="Palatino Linotype" w:hAnsi="Palatino Linotype" w:cs="Arial"/>
        </w:rPr>
        <w:t xml:space="preserve"> (1857): 152.</w:t>
      </w:r>
    </w:p>
  </w:footnote>
  <w:footnote w:id="101">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DeForest, ‘Letter to Eli Smith’ (Beirut, 15 May 1844).</w:t>
      </w:r>
    </w:p>
  </w:footnote>
  <w:footnote w:id="102">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Sada Barakat’s conversion story includes a point where she struggled with teaching religious texts. Barakat in Jessup, </w:t>
      </w:r>
      <w:r w:rsidRPr="00F1103D">
        <w:rPr>
          <w:rFonts w:ascii="Palatino Linotype" w:hAnsi="Palatino Linotype"/>
          <w:i/>
        </w:rPr>
        <w:t>WA:</w:t>
      </w:r>
      <w:r w:rsidRPr="00F1103D">
        <w:rPr>
          <w:rFonts w:ascii="Palatino Linotype" w:hAnsi="Palatino Linotype"/>
        </w:rPr>
        <w:t xml:space="preserve"> 86.</w:t>
      </w:r>
    </w:p>
  </w:footnote>
  <w:footnote w:id="103">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Hooker, </w:t>
      </w:r>
      <w:r w:rsidRPr="00F1103D">
        <w:rPr>
          <w:rFonts w:ascii="Palatino Linotype" w:hAnsi="Palatino Linotype"/>
          <w:i/>
        </w:rPr>
        <w:t>MSLS</w:t>
      </w:r>
      <w:r w:rsidRPr="00F1103D">
        <w:rPr>
          <w:rFonts w:ascii="Palatino Linotype" w:hAnsi="Palatino Linotype"/>
        </w:rPr>
        <w:t>: 142.</w:t>
      </w:r>
    </w:p>
  </w:footnote>
  <w:footnote w:id="104">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As Badr describes, ‘[a] nominal Christian in the nineteenth century was any person who did not embrace the evangelical Protestant faith held in common by all those who claimed to be converted Christians in American and Europe.’ Badr, ‘Missions to “Nominal Christians”’: 9. Henrietta Smith, ‘Letter to Sisters’ (Beirut, 4 February [1850]): YDS: ES Box 1: Folder 20.</w:t>
      </w:r>
    </w:p>
  </w:footnote>
  <w:footnote w:id="105">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Hooker, </w:t>
      </w:r>
      <w:r w:rsidRPr="00F1103D">
        <w:rPr>
          <w:rFonts w:ascii="Palatino Linotype" w:hAnsi="Palatino Linotype"/>
          <w:i/>
        </w:rPr>
        <w:t>MSLS</w:t>
      </w:r>
      <w:r w:rsidRPr="00F1103D">
        <w:rPr>
          <w:rFonts w:ascii="Palatino Linotype" w:hAnsi="Palatino Linotype"/>
        </w:rPr>
        <w:t>: 274-275.</w:t>
      </w:r>
    </w:p>
  </w:footnote>
  <w:footnote w:id="106">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Smith, ‘Letter’ (Beirut, 18 January 1847)</w:t>
      </w:r>
      <w:r w:rsidRPr="00F1103D">
        <w:rPr>
          <w:rFonts w:ascii="Palatino Linotype" w:hAnsi="Palatino Linotype" w:cs="Arial"/>
        </w:rPr>
        <w:t>.</w:t>
      </w:r>
    </w:p>
  </w:footnote>
  <w:footnote w:id="107">
    <w:p w:rsidR="00D42FBF" w:rsidRPr="00F1103D" w:rsidRDefault="00D42FBF" w:rsidP="001761FF">
      <w:pPr>
        <w:ind w:left="90" w:hanging="90"/>
        <w:jc w:val="both"/>
        <w:rPr>
          <w:rFonts w:ascii="Palatino Linotype" w:hAnsi="Palatino Linotype"/>
          <w:sz w:val="20"/>
          <w:szCs w:val="20"/>
        </w:rPr>
      </w:pPr>
      <w:r w:rsidRPr="00F1103D">
        <w:rPr>
          <w:rStyle w:val="FootnoteReference"/>
          <w:rFonts w:ascii="Palatino Linotype" w:hAnsi="Palatino Linotype"/>
          <w:sz w:val="20"/>
          <w:szCs w:val="20"/>
        </w:rPr>
        <w:footnoteRef/>
      </w:r>
      <w:r w:rsidRPr="00F1103D">
        <w:rPr>
          <w:rFonts w:ascii="Palatino Linotype" w:hAnsi="Palatino Linotype"/>
          <w:sz w:val="20"/>
          <w:szCs w:val="20"/>
        </w:rPr>
        <w:t xml:space="preserve"> Chasseaud, ‘Notice of Baptism for Adelaide Charlotte Abbott’; Chasseaud, ‘Notice of Baptism for William Peter Augustus Chasseaud’; Chasseaud, ‘Notice of Baptism for Alfred Augustus Barker Chasseaud’; George B. Whiting, ‘Notice of Baptism for Giorgiana Gordon’ (Shemlan, 31 January 1848): [British] PRO: FO 616/3; Eli Smith, ‘Notice of Baptism for Juliet Churchill’ (Pera, 15 May 1830): HHL: ABC 60 (126).</w:t>
      </w:r>
    </w:p>
  </w:footnote>
  <w:footnote w:id="108">
    <w:p w:rsidR="00D42FBF" w:rsidRPr="00F1103D" w:rsidRDefault="00D42FBF" w:rsidP="001761FF">
      <w:pPr>
        <w:ind w:left="90" w:hanging="90"/>
        <w:jc w:val="both"/>
        <w:rPr>
          <w:rFonts w:ascii="Palatino Linotype" w:hAnsi="Palatino Linotype"/>
          <w:sz w:val="20"/>
          <w:szCs w:val="20"/>
        </w:rPr>
      </w:pPr>
      <w:r w:rsidRPr="00F1103D">
        <w:rPr>
          <w:rStyle w:val="FootnoteReference"/>
          <w:rFonts w:ascii="Palatino Linotype" w:hAnsi="Palatino Linotype"/>
          <w:sz w:val="20"/>
          <w:szCs w:val="20"/>
        </w:rPr>
        <w:footnoteRef/>
      </w:r>
      <w:r w:rsidRPr="00F1103D">
        <w:rPr>
          <w:rFonts w:ascii="Palatino Linotype" w:hAnsi="Palatino Linotype"/>
          <w:sz w:val="20"/>
          <w:szCs w:val="20"/>
        </w:rPr>
        <w:t xml:space="preserve"> Chasseaud, ‘Register of Marriage: Frederick Catherwood and Gertude Abbott’ (Beirut, 15 March 1834); Horace Winbolt, ‘Register of Marriage: James Black and Eliza Fanny Abbot’ (Beirut, 29 April 1847):  [British] PRO: FO 616/3; William Thomson, ‘Register of Marriage: John Gordon Scott and Isabella Carnacheau’ (Beirut, 5 May 1847): [British] PRO: FO 616/3.</w:t>
      </w:r>
    </w:p>
  </w:footnote>
  <w:footnote w:id="109">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Wolcott, ‘Letter to Sir’ (Beirut, 30 October 1841).</w:t>
      </w:r>
    </w:p>
  </w:footnote>
  <w:footnote w:id="110">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w:t>
      </w:r>
      <w:r w:rsidRPr="00F1103D">
        <w:rPr>
          <w:rFonts w:ascii="Palatino Linotype" w:hAnsi="Palatino Linotype" w:cs="Arial"/>
        </w:rPr>
        <w:t xml:space="preserve">Hooker, </w:t>
      </w:r>
      <w:r w:rsidRPr="00F1103D">
        <w:rPr>
          <w:rFonts w:ascii="Palatino Linotype" w:hAnsi="Palatino Linotype" w:cs="Arial"/>
          <w:i/>
        </w:rPr>
        <w:t>MSLS</w:t>
      </w:r>
      <w:r w:rsidRPr="00F1103D">
        <w:rPr>
          <w:rFonts w:ascii="Palatino Linotype" w:hAnsi="Palatino Linotype" w:cs="Arial"/>
        </w:rPr>
        <w:t>: 181.</w:t>
      </w:r>
    </w:p>
  </w:footnote>
  <w:footnote w:id="111">
    <w:p w:rsidR="00D42FBF" w:rsidRPr="00F1103D" w:rsidRDefault="00D42FBF" w:rsidP="001761FF">
      <w:pPr>
        <w:ind w:left="90" w:hanging="90"/>
        <w:jc w:val="both"/>
        <w:rPr>
          <w:rFonts w:ascii="Palatino Linotype" w:hAnsi="Palatino Linotype"/>
          <w:sz w:val="20"/>
          <w:szCs w:val="20"/>
        </w:rPr>
      </w:pPr>
      <w:r w:rsidRPr="00F1103D">
        <w:rPr>
          <w:rStyle w:val="FootnoteReference"/>
          <w:rFonts w:ascii="Palatino Linotype" w:hAnsi="Palatino Linotype"/>
          <w:sz w:val="20"/>
          <w:szCs w:val="20"/>
        </w:rPr>
        <w:footnoteRef/>
      </w:r>
      <w:r w:rsidRPr="00F1103D">
        <w:rPr>
          <w:rFonts w:ascii="Palatino Linotype" w:hAnsi="Palatino Linotype"/>
          <w:sz w:val="20"/>
          <w:szCs w:val="20"/>
        </w:rPr>
        <w:t xml:space="preserve"> Smith, ‘Letter’ (Beirut, 18 January 1847). For a description of Frank balls in Aleppo see Paton, </w:t>
      </w:r>
      <w:r w:rsidRPr="00F1103D">
        <w:rPr>
          <w:rFonts w:ascii="Palatino Linotype" w:hAnsi="Palatino Linotype"/>
          <w:i/>
          <w:sz w:val="20"/>
          <w:szCs w:val="20"/>
        </w:rPr>
        <w:t>The</w:t>
      </w:r>
      <w:r w:rsidRPr="00F1103D">
        <w:rPr>
          <w:rFonts w:ascii="Palatino Linotype" w:hAnsi="Palatino Linotype"/>
          <w:sz w:val="20"/>
          <w:szCs w:val="20"/>
        </w:rPr>
        <w:t xml:space="preserve"> </w:t>
      </w:r>
      <w:r w:rsidRPr="00F1103D">
        <w:rPr>
          <w:rFonts w:ascii="Palatino Linotype" w:hAnsi="Palatino Linotype"/>
          <w:i/>
          <w:sz w:val="20"/>
          <w:szCs w:val="20"/>
        </w:rPr>
        <w:t>Modern Syrians</w:t>
      </w:r>
      <w:r w:rsidRPr="00F1103D">
        <w:rPr>
          <w:rFonts w:ascii="Palatino Linotype" w:hAnsi="Palatino Linotype"/>
          <w:sz w:val="20"/>
          <w:szCs w:val="20"/>
        </w:rPr>
        <w:t xml:space="preserve">: 259-260. </w:t>
      </w:r>
    </w:p>
  </w:footnote>
  <w:footnote w:id="112">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Smith, ‘Letter to Sisters’ (Beirut, 4 February [1850]).</w:t>
      </w:r>
    </w:p>
  </w:footnote>
  <w:footnote w:id="113">
    <w:p w:rsidR="00D42FBF" w:rsidRPr="00F1103D" w:rsidRDefault="00D42FBF" w:rsidP="001761FF">
      <w:pPr>
        <w:ind w:left="90" w:hanging="90"/>
        <w:jc w:val="both"/>
        <w:rPr>
          <w:rFonts w:ascii="Palatino Linotype" w:hAnsi="Palatino Linotype"/>
          <w:sz w:val="20"/>
          <w:szCs w:val="20"/>
        </w:rPr>
      </w:pPr>
      <w:r w:rsidRPr="00F1103D">
        <w:rPr>
          <w:rStyle w:val="FootnoteReference"/>
          <w:rFonts w:ascii="Palatino Linotype" w:hAnsi="Palatino Linotype"/>
          <w:sz w:val="20"/>
          <w:szCs w:val="20"/>
        </w:rPr>
        <w:footnoteRef/>
      </w:r>
      <w:r w:rsidRPr="00F1103D">
        <w:rPr>
          <w:rFonts w:ascii="Palatino Linotype" w:hAnsi="Palatino Linotype"/>
          <w:sz w:val="20"/>
          <w:szCs w:val="20"/>
        </w:rPr>
        <w:t xml:space="preserve"> Henrietta Smith, ‘Letter to Mother’ (Beirut, 10 April 1848): YDS: ES Box 1: Folder 18; </w:t>
      </w:r>
      <w:r w:rsidRPr="00F1103D">
        <w:rPr>
          <w:rFonts w:ascii="Palatino Linotype" w:hAnsi="Palatino Linotype" w:cs="Arial"/>
          <w:sz w:val="20"/>
          <w:szCs w:val="20"/>
        </w:rPr>
        <w:t xml:space="preserve">Hooker, </w:t>
      </w:r>
      <w:r w:rsidRPr="00F1103D">
        <w:rPr>
          <w:rFonts w:ascii="Palatino Linotype" w:hAnsi="Palatino Linotype" w:cs="Arial"/>
          <w:i/>
          <w:sz w:val="20"/>
          <w:szCs w:val="20"/>
        </w:rPr>
        <w:t>MSLS</w:t>
      </w:r>
      <w:r w:rsidRPr="00F1103D">
        <w:rPr>
          <w:rFonts w:ascii="Palatino Linotype" w:hAnsi="Palatino Linotype" w:cs="Arial"/>
          <w:sz w:val="20"/>
          <w:szCs w:val="20"/>
        </w:rPr>
        <w:t>: 218.</w:t>
      </w:r>
    </w:p>
  </w:footnote>
  <w:footnote w:id="114">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Smith, ‘Letter’ (Beirut, 18 January 1847).</w:t>
      </w:r>
    </w:p>
  </w:footnote>
  <w:footnote w:id="115">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w:t>
      </w:r>
      <w:r w:rsidRPr="00F1103D">
        <w:rPr>
          <w:rFonts w:ascii="Palatino Linotype" w:hAnsi="Palatino Linotype" w:cs="Arial"/>
          <w:i/>
        </w:rPr>
        <w:t>MH</w:t>
      </w:r>
      <w:r w:rsidRPr="00F1103D">
        <w:rPr>
          <w:rFonts w:ascii="Palatino Linotype" w:hAnsi="Palatino Linotype" w:cs="Arial"/>
        </w:rPr>
        <w:t xml:space="preserve"> (1839): 377.</w:t>
      </w:r>
    </w:p>
  </w:footnote>
  <w:footnote w:id="116">
    <w:p w:rsidR="00D42FBF" w:rsidRPr="00F1103D" w:rsidRDefault="00D42FBF" w:rsidP="001761FF">
      <w:pPr>
        <w:pStyle w:val="FootnoteText"/>
        <w:ind w:left="90" w:hanging="90"/>
        <w:jc w:val="both"/>
        <w:rPr>
          <w:rFonts w:ascii="Palatino Linotype" w:hAnsi="Palatino Linotype" w:cs="Arial"/>
        </w:rPr>
      </w:pPr>
      <w:r w:rsidRPr="00F1103D">
        <w:rPr>
          <w:rStyle w:val="FootnoteReference"/>
          <w:rFonts w:ascii="Palatino Linotype" w:hAnsi="Palatino Linotype"/>
        </w:rPr>
        <w:footnoteRef/>
      </w:r>
      <w:r w:rsidRPr="00F1103D">
        <w:rPr>
          <w:rFonts w:ascii="Palatino Linotype" w:hAnsi="Palatino Linotype"/>
        </w:rPr>
        <w:t xml:space="preserve"> </w:t>
      </w:r>
      <w:r w:rsidRPr="00F1103D">
        <w:rPr>
          <w:rFonts w:ascii="Palatino Linotype" w:hAnsi="Palatino Linotype" w:cs="Arial"/>
        </w:rPr>
        <w:t xml:space="preserve">Hooker, </w:t>
      </w:r>
      <w:r w:rsidRPr="00F1103D">
        <w:rPr>
          <w:rFonts w:ascii="Palatino Linotype" w:hAnsi="Palatino Linotype" w:cs="Arial"/>
          <w:i/>
        </w:rPr>
        <w:t>MSLS</w:t>
      </w:r>
      <w:r w:rsidRPr="00F1103D">
        <w:rPr>
          <w:rFonts w:ascii="Palatino Linotype" w:hAnsi="Palatino Linotype" w:cs="Arial"/>
        </w:rPr>
        <w:t>: 208; Smith, ‘Letter to Brothers and Sisters’ (n.s., Early February 1850).</w:t>
      </w:r>
    </w:p>
  </w:footnote>
  <w:footnote w:id="117">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w:t>
      </w:r>
      <w:r w:rsidRPr="00F1103D">
        <w:rPr>
          <w:rFonts w:ascii="Palatino Linotype" w:hAnsi="Palatino Linotype" w:cs="Arial"/>
        </w:rPr>
        <w:t xml:space="preserve">Hooker, </w:t>
      </w:r>
      <w:r w:rsidRPr="00F1103D">
        <w:rPr>
          <w:rFonts w:ascii="Palatino Linotype" w:hAnsi="Palatino Linotype" w:cs="Arial"/>
          <w:i/>
        </w:rPr>
        <w:t>MSLS</w:t>
      </w:r>
      <w:r w:rsidRPr="00F1103D">
        <w:rPr>
          <w:rFonts w:ascii="Palatino Linotype" w:hAnsi="Palatino Linotype" w:cs="Arial"/>
        </w:rPr>
        <w:t>: 294.</w:t>
      </w:r>
    </w:p>
  </w:footnote>
  <w:footnote w:id="118">
    <w:p w:rsidR="00D42FBF" w:rsidRPr="00F1103D" w:rsidRDefault="00D42FBF" w:rsidP="001761FF">
      <w:pPr>
        <w:pStyle w:val="FootnoteText"/>
        <w:ind w:left="90" w:hanging="90"/>
        <w:jc w:val="both"/>
        <w:rPr>
          <w:rFonts w:ascii="Palatino Linotype" w:hAnsi="Palatino Linotype" w:cs="Arial"/>
        </w:rPr>
      </w:pPr>
      <w:r w:rsidRPr="00F1103D">
        <w:rPr>
          <w:rStyle w:val="FootnoteReference"/>
          <w:rFonts w:ascii="Palatino Linotype" w:hAnsi="Palatino Linotype"/>
        </w:rPr>
        <w:footnoteRef/>
      </w:r>
      <w:r w:rsidRPr="00F1103D">
        <w:rPr>
          <w:rFonts w:ascii="Palatino Linotype" w:hAnsi="Palatino Linotype"/>
        </w:rPr>
        <w:t xml:space="preserve"> </w:t>
      </w:r>
      <w:r w:rsidRPr="00F1103D">
        <w:rPr>
          <w:rFonts w:ascii="Palatino Linotype" w:hAnsi="Palatino Linotype" w:cs="Arial"/>
        </w:rPr>
        <w:t>Smith, ‘Letter to Husband’ (Bhamdoun, 11 July 1856); Eli Smith, Letter to Wife’ (Off Sinope, 16 June 1856): YDS: ES Box 1: Folder 10.</w:t>
      </w:r>
    </w:p>
  </w:footnote>
  <w:footnote w:id="119">
    <w:p w:rsidR="00D42FBF" w:rsidRPr="00F1103D" w:rsidRDefault="00D42FBF" w:rsidP="001761FF">
      <w:pPr>
        <w:pStyle w:val="FootnoteText"/>
        <w:ind w:left="90" w:hanging="90"/>
        <w:jc w:val="both"/>
        <w:rPr>
          <w:rFonts w:ascii="Palatino Linotype" w:hAnsi="Palatino Linotype" w:cs="Arial"/>
        </w:rPr>
      </w:pPr>
      <w:r w:rsidRPr="00F1103D">
        <w:rPr>
          <w:rStyle w:val="FootnoteReference"/>
          <w:rFonts w:ascii="Palatino Linotype" w:hAnsi="Palatino Linotype"/>
        </w:rPr>
        <w:footnoteRef/>
      </w:r>
      <w:r w:rsidRPr="00F1103D">
        <w:rPr>
          <w:rFonts w:ascii="Palatino Linotype" w:hAnsi="Palatino Linotype"/>
        </w:rPr>
        <w:t xml:space="preserve"> Smith, ‘The Papal Sects of Syria’; </w:t>
      </w:r>
      <w:r w:rsidRPr="00F1103D">
        <w:rPr>
          <w:rFonts w:ascii="Palatino Linotype" w:hAnsi="Palatino Linotype" w:cs="Arial"/>
        </w:rPr>
        <w:t>Murre-van den Berg, ‘Simply by Giving to Them Macaroni’: 63-80.</w:t>
      </w:r>
    </w:p>
  </w:footnote>
  <w:footnote w:id="120">
    <w:p w:rsidR="00D42FBF" w:rsidRPr="00F1103D" w:rsidRDefault="00D42FBF" w:rsidP="001761FF">
      <w:pPr>
        <w:pStyle w:val="FootnoteText"/>
        <w:ind w:left="90" w:hanging="90"/>
        <w:jc w:val="both"/>
        <w:rPr>
          <w:rFonts w:ascii="Palatino Linotype" w:hAnsi="Palatino Linotype"/>
          <w:color w:val="FF0000"/>
        </w:rPr>
      </w:pPr>
      <w:r w:rsidRPr="00F1103D">
        <w:rPr>
          <w:rStyle w:val="FootnoteReference"/>
          <w:rFonts w:ascii="Palatino Linotype" w:hAnsi="Palatino Linotype"/>
        </w:rPr>
        <w:footnoteRef/>
      </w:r>
      <w:r w:rsidRPr="00F1103D">
        <w:rPr>
          <w:rFonts w:ascii="Palatino Linotype" w:hAnsi="Palatino Linotype"/>
        </w:rPr>
        <w:t xml:space="preserve"> Jonas King, ‘Farewell Letter’, Isaac Bird ‘The Thirteen Letters’; Mishaqa, </w:t>
      </w:r>
      <w:r w:rsidRPr="00F1103D">
        <w:rPr>
          <w:rFonts w:ascii="Palatino Linotype" w:hAnsi="Palatino Linotype"/>
          <w:i/>
        </w:rPr>
        <w:t>Murder, Mayhem, Pillage and Plunder</w:t>
      </w:r>
      <w:r w:rsidRPr="00F1103D">
        <w:rPr>
          <w:rFonts w:ascii="Palatino Linotype" w:hAnsi="Palatino Linotype"/>
        </w:rPr>
        <w:t>: 236-238.</w:t>
      </w:r>
    </w:p>
  </w:footnote>
  <w:footnote w:id="121">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Although working primarily at their respective institutions and homes, it is unlikely that women from these groups never met, considering the relatively small size of Beirut.</w:t>
      </w:r>
    </w:p>
  </w:footnote>
  <w:footnote w:id="122">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cs="Arial"/>
        </w:rPr>
        <w:t xml:space="preserve"> For example Sada Barakat in Jessup, </w:t>
      </w:r>
      <w:r w:rsidRPr="00F1103D">
        <w:rPr>
          <w:rFonts w:ascii="Palatino Linotype" w:hAnsi="Palatino Linotype" w:cs="Arial"/>
          <w:i/>
        </w:rPr>
        <w:t>WA</w:t>
      </w:r>
      <w:r w:rsidRPr="00F1103D">
        <w:rPr>
          <w:rFonts w:ascii="Palatino Linotype" w:hAnsi="Palatino Linotype" w:cs="Arial"/>
        </w:rPr>
        <w:t xml:space="preserve">: 85-87; Murre-van den Berg, ‘Dear Mother of My Soul’: 41, 44-45; </w:t>
      </w:r>
      <w:r w:rsidRPr="00F1103D">
        <w:rPr>
          <w:rFonts w:ascii="Palatino Linotype" w:hAnsi="Palatino Linotype"/>
        </w:rPr>
        <w:t>Booth, ‘She Herself was the Ultimate Rule’: 427-448.</w:t>
      </w:r>
    </w:p>
  </w:footnote>
  <w:footnote w:id="123">
    <w:p w:rsidR="00D42FBF" w:rsidRPr="00F1103D" w:rsidRDefault="00D42FBF" w:rsidP="001761FF">
      <w:pPr>
        <w:pStyle w:val="FootnoteText"/>
        <w:tabs>
          <w:tab w:val="left" w:pos="180"/>
        </w:tabs>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I have to thank the participants of Christian Missionaries in the Middle East: Re-Thinking Colonial Encounters conference (Raleigh, North Carolina, 4-5 May 2007) for illuminating this point.</w:t>
      </w:r>
    </w:p>
  </w:footnote>
  <w:footnote w:id="124">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Jessup, </w:t>
      </w:r>
      <w:r w:rsidRPr="00F1103D">
        <w:rPr>
          <w:rFonts w:ascii="Palatino Linotype" w:hAnsi="Palatino Linotype"/>
          <w:i/>
        </w:rPr>
        <w:t>WA</w:t>
      </w:r>
      <w:r w:rsidRPr="00F1103D">
        <w:rPr>
          <w:rFonts w:ascii="Palatino Linotype" w:hAnsi="Palatino Linotype"/>
        </w:rPr>
        <w:t>: 30-33, 60-62, 85-87, 88-90.</w:t>
      </w:r>
    </w:p>
  </w:footnote>
  <w:footnote w:id="125">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w:t>
      </w:r>
      <w:r w:rsidRPr="00F1103D">
        <w:rPr>
          <w:rFonts w:ascii="Palatino Linotype" w:hAnsi="Palatino Linotype"/>
          <w:i/>
        </w:rPr>
        <w:t>MH</w:t>
      </w:r>
      <w:r w:rsidRPr="00F1103D">
        <w:rPr>
          <w:rFonts w:ascii="Palatino Linotype" w:hAnsi="Palatino Linotype"/>
        </w:rPr>
        <w:t xml:space="preserve"> (1828): 51; </w:t>
      </w:r>
      <w:r w:rsidRPr="00F1103D">
        <w:rPr>
          <w:rFonts w:ascii="Palatino Linotype" w:hAnsi="Palatino Linotype"/>
          <w:i/>
        </w:rPr>
        <w:t>MH</w:t>
      </w:r>
      <w:r w:rsidRPr="00F1103D">
        <w:rPr>
          <w:rFonts w:ascii="Palatino Linotype" w:hAnsi="Palatino Linotype"/>
        </w:rPr>
        <w:t xml:space="preserve"> (1846): 414-415; </w:t>
      </w:r>
      <w:r w:rsidRPr="00F1103D">
        <w:rPr>
          <w:rFonts w:ascii="Palatino Linotype" w:hAnsi="Palatino Linotype"/>
          <w:i/>
        </w:rPr>
        <w:t>MH</w:t>
      </w:r>
      <w:r w:rsidRPr="00F1103D">
        <w:rPr>
          <w:rFonts w:ascii="Palatino Linotype" w:hAnsi="Palatino Linotype"/>
        </w:rPr>
        <w:t xml:space="preserve"> (1848): 202. One exception was the mother of Anis Khouri al-Makdisi, who was the first within her family to convert to Protestantism from the Greek Orthodox faith, at the age of forty, and was then followed by her husband. Jean Said Makdisi, </w:t>
      </w:r>
      <w:r w:rsidRPr="00F1103D">
        <w:rPr>
          <w:rFonts w:ascii="Palatino Linotype" w:hAnsi="Palatino Linotype"/>
          <w:i/>
        </w:rPr>
        <w:t>Teta, Mother and Me: An Arab Woman’s Memoir</w:t>
      </w:r>
      <w:r w:rsidRPr="00F1103D">
        <w:rPr>
          <w:rFonts w:ascii="Palatino Linotype" w:hAnsi="Palatino Linotype"/>
        </w:rPr>
        <w:t xml:space="preserve"> (London: Saqi, 2005): 148-149.</w:t>
      </w:r>
    </w:p>
  </w:footnote>
  <w:footnote w:id="126">
    <w:p w:rsidR="00D42FBF" w:rsidRPr="00F1103D" w:rsidRDefault="00D42FBF" w:rsidP="001761FF">
      <w:pPr>
        <w:pStyle w:val="FootnoteText"/>
        <w:tabs>
          <w:tab w:val="left" w:pos="6547"/>
        </w:tabs>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e.g. Hooker, </w:t>
      </w:r>
      <w:r w:rsidRPr="00F1103D">
        <w:rPr>
          <w:rFonts w:ascii="Palatino Linotype" w:hAnsi="Palatino Linotype"/>
          <w:i/>
        </w:rPr>
        <w:t>MSLS</w:t>
      </w:r>
      <w:r w:rsidRPr="00F1103D">
        <w:rPr>
          <w:rFonts w:ascii="Palatino Linotype" w:hAnsi="Palatino Linotype"/>
        </w:rPr>
        <w:t xml:space="preserve">:129, 273-279; Bliss, </w:t>
      </w:r>
      <w:r w:rsidRPr="00F1103D">
        <w:rPr>
          <w:rFonts w:ascii="Palatino Linotype" w:hAnsi="Palatino Linotype"/>
          <w:i/>
        </w:rPr>
        <w:t>RDB</w:t>
      </w:r>
      <w:r w:rsidRPr="00F1103D">
        <w:rPr>
          <w:rFonts w:ascii="Palatino Linotype" w:hAnsi="Palatino Linotype"/>
        </w:rPr>
        <w:t>: 125.</w:t>
      </w:r>
      <w:r w:rsidRPr="00F1103D">
        <w:rPr>
          <w:rFonts w:ascii="Palatino Linotype" w:hAnsi="Palatino Linotype"/>
        </w:rPr>
        <w:tab/>
      </w:r>
    </w:p>
  </w:footnote>
  <w:footnote w:id="127">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w:t>
      </w:r>
      <w:r w:rsidRPr="00F1103D">
        <w:rPr>
          <w:rFonts w:ascii="Palatino Linotype" w:hAnsi="Palatino Linotype"/>
          <w:i/>
        </w:rPr>
        <w:t>MH</w:t>
      </w:r>
      <w:r w:rsidRPr="00F1103D">
        <w:rPr>
          <w:rFonts w:ascii="Palatino Linotype" w:hAnsi="Palatino Linotype"/>
        </w:rPr>
        <w:t xml:space="preserve"> (1846): 414.</w:t>
      </w:r>
    </w:p>
  </w:footnote>
  <w:footnote w:id="128">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n.s., ‘Deed of Suzan the daughter of Nichola’ ([Beirut], [28 February 1831]: 15 Ramadan 1246): HHL: ABC 8.2.17, box 4, folder 26; Tracey, ‘HABCFM’: 130. This refers to the Turkish language written in Armenian Script, which was a popular form of communication during this period.</w:t>
      </w:r>
    </w:p>
  </w:footnote>
  <w:footnote w:id="129">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One letter stated that Susan’s age in 1834 was ‘being little more than twenty’. If this is correct, than Susan would have been eleven years old when she was married. </w:t>
      </w:r>
      <w:r w:rsidRPr="00F1103D">
        <w:rPr>
          <w:rFonts w:ascii="Palatino Linotype" w:hAnsi="Palatino Linotype"/>
          <w:i/>
        </w:rPr>
        <w:t>MH</w:t>
      </w:r>
      <w:r w:rsidRPr="00F1103D">
        <w:rPr>
          <w:rFonts w:ascii="Palatino Linotype" w:hAnsi="Palatino Linotype"/>
        </w:rPr>
        <w:t xml:space="preserve"> (1835): 92-93; </w:t>
      </w:r>
      <w:r w:rsidRPr="00F1103D">
        <w:rPr>
          <w:rFonts w:ascii="Palatino Linotype" w:hAnsi="Palatino Linotype"/>
          <w:i/>
        </w:rPr>
        <w:t>MH</w:t>
      </w:r>
      <w:r w:rsidRPr="00F1103D">
        <w:rPr>
          <w:rFonts w:ascii="Palatino Linotype" w:hAnsi="Palatino Linotype"/>
        </w:rPr>
        <w:t xml:space="preserve"> (1836): 52</w:t>
      </w:r>
    </w:p>
  </w:footnote>
  <w:footnote w:id="130">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w:t>
      </w:r>
      <w:r w:rsidRPr="00F1103D">
        <w:rPr>
          <w:rFonts w:ascii="Palatino Linotype" w:hAnsi="Palatino Linotype"/>
          <w:i/>
        </w:rPr>
        <w:t>MH</w:t>
      </w:r>
      <w:r w:rsidRPr="00F1103D">
        <w:rPr>
          <w:rFonts w:ascii="Palatino Linotype" w:hAnsi="Palatino Linotype"/>
        </w:rPr>
        <w:t xml:space="preserve"> (1826): 11-12; </w:t>
      </w:r>
      <w:r w:rsidRPr="00F1103D">
        <w:rPr>
          <w:rFonts w:ascii="Palatino Linotype" w:hAnsi="Palatino Linotype"/>
          <w:i/>
        </w:rPr>
        <w:t>MH</w:t>
      </w:r>
      <w:r w:rsidRPr="00F1103D">
        <w:rPr>
          <w:rFonts w:ascii="Palatino Linotype" w:hAnsi="Palatino Linotype"/>
        </w:rPr>
        <w:t xml:space="preserve"> (1827): 19-20; Wortabet, SS: </w:t>
      </w:r>
      <w:r w:rsidRPr="00F1103D">
        <w:rPr>
          <w:rFonts w:ascii="Palatino Linotype" w:hAnsi="Palatino Linotype"/>
          <w:i/>
        </w:rPr>
        <w:t>I</w:t>
      </w:r>
      <w:r w:rsidRPr="00F1103D">
        <w:rPr>
          <w:rFonts w:ascii="Palatino Linotype" w:hAnsi="Palatino Linotype"/>
        </w:rPr>
        <w:t>: 334.</w:t>
      </w:r>
    </w:p>
  </w:footnote>
  <w:footnote w:id="131">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w:t>
      </w:r>
      <w:r w:rsidRPr="00F1103D">
        <w:rPr>
          <w:rFonts w:ascii="Palatino Linotype" w:hAnsi="Palatino Linotype"/>
          <w:i/>
        </w:rPr>
        <w:t>MH</w:t>
      </w:r>
      <w:r w:rsidRPr="00F1103D">
        <w:rPr>
          <w:rFonts w:ascii="Palatino Linotype" w:hAnsi="Palatino Linotype"/>
        </w:rPr>
        <w:t xml:space="preserve"> (1828): 51. Before this, the ABCFM missionaries labelled her as ‘less promising’ to convert. </w:t>
      </w:r>
      <w:r w:rsidRPr="00F1103D">
        <w:rPr>
          <w:rFonts w:ascii="Palatino Linotype" w:hAnsi="Palatino Linotype"/>
          <w:i/>
        </w:rPr>
        <w:t>MH</w:t>
      </w:r>
      <w:r w:rsidRPr="00F1103D">
        <w:rPr>
          <w:rFonts w:ascii="Palatino Linotype" w:hAnsi="Palatino Linotype"/>
        </w:rPr>
        <w:t xml:space="preserve"> (1827): 178-179. </w:t>
      </w:r>
    </w:p>
  </w:footnote>
  <w:footnote w:id="132">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ABCFM, </w:t>
      </w:r>
      <w:r w:rsidRPr="00F1103D">
        <w:rPr>
          <w:rFonts w:ascii="Palatino Linotype" w:hAnsi="Palatino Linotype"/>
          <w:i/>
        </w:rPr>
        <w:t>Annual Report</w:t>
      </w:r>
      <w:r w:rsidRPr="00F1103D">
        <w:rPr>
          <w:rFonts w:ascii="Palatino Linotype" w:hAnsi="Palatino Linotype"/>
        </w:rPr>
        <w:t xml:space="preserve"> (Beirut, 1831); Wortabet,</w:t>
      </w:r>
      <w:r w:rsidRPr="00F1103D">
        <w:rPr>
          <w:rFonts w:ascii="Palatino Linotype" w:hAnsi="Palatino Linotype"/>
          <w:i/>
        </w:rPr>
        <w:t xml:space="preserve"> SS</w:t>
      </w:r>
      <w:r w:rsidRPr="00F1103D">
        <w:rPr>
          <w:rFonts w:ascii="Palatino Linotype" w:hAnsi="Palatino Linotype"/>
        </w:rPr>
        <w:t xml:space="preserve">: </w:t>
      </w:r>
      <w:r w:rsidRPr="00F1103D">
        <w:rPr>
          <w:rFonts w:ascii="Palatino Linotype" w:hAnsi="Palatino Linotype"/>
          <w:i/>
        </w:rPr>
        <w:t>I</w:t>
      </w:r>
      <w:r w:rsidRPr="00F1103D">
        <w:rPr>
          <w:rFonts w:ascii="Palatino Linotype" w:hAnsi="Palatino Linotype"/>
        </w:rPr>
        <w:t>: 56.</w:t>
      </w:r>
    </w:p>
  </w:footnote>
  <w:footnote w:id="133">
    <w:p w:rsidR="00D42FBF" w:rsidRPr="00F1103D" w:rsidRDefault="00D42FBF" w:rsidP="001761FF">
      <w:pPr>
        <w:ind w:left="90" w:hanging="90"/>
        <w:jc w:val="both"/>
        <w:rPr>
          <w:rFonts w:ascii="Palatino Linotype" w:hAnsi="Palatino Linotype"/>
          <w:sz w:val="20"/>
          <w:szCs w:val="20"/>
        </w:rPr>
      </w:pPr>
      <w:r w:rsidRPr="00F1103D">
        <w:rPr>
          <w:rStyle w:val="FootnoteReference"/>
          <w:rFonts w:ascii="Palatino Linotype" w:hAnsi="Palatino Linotype"/>
          <w:sz w:val="20"/>
          <w:szCs w:val="20"/>
        </w:rPr>
        <w:footnoteRef/>
      </w:r>
      <w:r w:rsidRPr="00F1103D">
        <w:rPr>
          <w:rFonts w:ascii="Palatino Linotype" w:hAnsi="Palatino Linotype"/>
          <w:sz w:val="20"/>
          <w:szCs w:val="20"/>
        </w:rPr>
        <w:t xml:space="preserve"> </w:t>
      </w:r>
      <w:r w:rsidRPr="00F1103D">
        <w:rPr>
          <w:rFonts w:ascii="Palatino Linotype" w:hAnsi="Palatino Linotype"/>
          <w:i/>
          <w:sz w:val="20"/>
          <w:szCs w:val="20"/>
        </w:rPr>
        <w:t>MH</w:t>
      </w:r>
      <w:r w:rsidRPr="00F1103D">
        <w:rPr>
          <w:rFonts w:ascii="Palatino Linotype" w:hAnsi="Palatino Linotype"/>
          <w:sz w:val="20"/>
          <w:szCs w:val="20"/>
        </w:rPr>
        <w:t xml:space="preserve"> (1833): 78. </w:t>
      </w:r>
    </w:p>
  </w:footnote>
  <w:footnote w:id="134">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Smith, ‘Letter to Madam [Mrs. Anderson]’ (Beirut, 11 April 1834); </w:t>
      </w:r>
      <w:r w:rsidRPr="00F1103D">
        <w:rPr>
          <w:rFonts w:ascii="Palatino Linotype" w:hAnsi="Palatino Linotype"/>
          <w:i/>
        </w:rPr>
        <w:t>MH</w:t>
      </w:r>
      <w:r w:rsidRPr="00F1103D">
        <w:rPr>
          <w:rFonts w:ascii="Palatino Linotype" w:hAnsi="Palatino Linotype"/>
        </w:rPr>
        <w:t xml:space="preserve"> (1836): 93; Sarah Smith, ‘Letter to Mrs. Hallock’ (Beirut, 1 June 1835): HHL: ABC 60 (110).</w:t>
      </w:r>
    </w:p>
  </w:footnote>
  <w:footnote w:id="135">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Wortabet,</w:t>
      </w:r>
      <w:r w:rsidRPr="00F1103D">
        <w:rPr>
          <w:rFonts w:ascii="Palatino Linotype" w:hAnsi="Palatino Linotype"/>
          <w:i/>
        </w:rPr>
        <w:t xml:space="preserve"> SS: I</w:t>
      </w:r>
      <w:r w:rsidRPr="00F1103D">
        <w:rPr>
          <w:rFonts w:ascii="Palatino Linotype" w:hAnsi="Palatino Linotype"/>
        </w:rPr>
        <w:t xml:space="preserve">: xiv, 70; </w:t>
      </w:r>
      <w:r w:rsidRPr="00F1103D">
        <w:rPr>
          <w:rFonts w:ascii="Palatino Linotype" w:hAnsi="Palatino Linotype"/>
          <w:i/>
        </w:rPr>
        <w:t>II</w:t>
      </w:r>
      <w:r w:rsidRPr="00F1103D">
        <w:rPr>
          <w:rFonts w:ascii="Palatino Linotype" w:hAnsi="Palatino Linotype"/>
        </w:rPr>
        <w:t>: 1-5; Smith, ‘Letter to Matilda Whiting’ (Beirut, 4 June 1835).</w:t>
      </w:r>
    </w:p>
  </w:footnote>
  <w:footnote w:id="136">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Smith, ‘Letter to Matilda Whiting’ (Beirut, 4 June 1835).</w:t>
      </w:r>
    </w:p>
  </w:footnote>
  <w:footnote w:id="137">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n.s., ‘Letter to Sir’ (Smyrna, 17 May 1836): ABCFM microfilm Unit 5: Near East: Reel 537: 237. Little information is available on Susan after this point, with the exception of a brief reference to her residence with her daughter, Hannie during the mid-1850s. Robinson and Smith, </w:t>
      </w:r>
      <w:r w:rsidRPr="00F1103D">
        <w:rPr>
          <w:rFonts w:ascii="Palatino Linotype" w:hAnsi="Palatino Linotype"/>
          <w:i/>
        </w:rPr>
        <w:t>BR:</w:t>
      </w:r>
      <w:r w:rsidRPr="00F1103D">
        <w:rPr>
          <w:rFonts w:ascii="Palatino Linotype" w:hAnsi="Palatino Linotype"/>
        </w:rPr>
        <w:t xml:space="preserve"> </w:t>
      </w:r>
      <w:r w:rsidRPr="00F1103D">
        <w:rPr>
          <w:rFonts w:ascii="Palatino Linotype" w:hAnsi="Palatino Linotype"/>
          <w:i/>
        </w:rPr>
        <w:t>I</w:t>
      </w:r>
      <w:r w:rsidRPr="00F1103D">
        <w:rPr>
          <w:rFonts w:ascii="Palatino Linotype" w:hAnsi="Palatino Linotype"/>
        </w:rPr>
        <w:t>: 377.</w:t>
      </w:r>
    </w:p>
  </w:footnote>
  <w:footnote w:id="138">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Jessup, </w:t>
      </w:r>
      <w:r w:rsidRPr="00F1103D">
        <w:rPr>
          <w:rFonts w:ascii="Palatino Linotype" w:hAnsi="Palatino Linotype"/>
          <w:i/>
        </w:rPr>
        <w:t>WA</w:t>
      </w:r>
      <w:r w:rsidRPr="00F1103D">
        <w:rPr>
          <w:rFonts w:ascii="Palatino Linotype" w:hAnsi="Palatino Linotype"/>
        </w:rPr>
        <w:t xml:space="preserve">: 54-58, 60-62; Prime, </w:t>
      </w:r>
      <w:r w:rsidRPr="00F1103D">
        <w:rPr>
          <w:rFonts w:ascii="Palatino Linotype" w:hAnsi="Palatino Linotype"/>
          <w:i/>
        </w:rPr>
        <w:t>Forty Years in the Turkish Empire</w:t>
      </w:r>
      <w:r w:rsidRPr="00F1103D">
        <w:rPr>
          <w:rFonts w:ascii="Palatino Linotype" w:hAnsi="Palatino Linotype"/>
        </w:rPr>
        <w:t xml:space="preserve">: 411. Although beyond the time frame for this thesis, this sisterly bond was most clearly expressed in a poem written by Werdah al-Yaziji, which lamented the death of Sarah al-Bustani. This poem is printed in Arabic and English in Jessup, </w:t>
      </w:r>
      <w:r w:rsidRPr="00F1103D">
        <w:rPr>
          <w:rFonts w:ascii="Palatino Linotype" w:hAnsi="Palatino Linotype"/>
          <w:i/>
        </w:rPr>
        <w:t>WA</w:t>
      </w:r>
      <w:r w:rsidRPr="00F1103D">
        <w:rPr>
          <w:rFonts w:ascii="Palatino Linotype" w:hAnsi="Palatino Linotype"/>
        </w:rPr>
        <w:t>: 156-157.</w:t>
      </w:r>
    </w:p>
  </w:footnote>
  <w:footnote w:id="139">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This is demonstrated in the intertwining of names found in Appendix II:B. Fleischmann, ‘Our Moslem: 310; Makdisi, </w:t>
      </w:r>
      <w:r w:rsidRPr="00F1103D">
        <w:rPr>
          <w:rFonts w:ascii="Palatino Linotype" w:hAnsi="Palatino Linotype"/>
          <w:i/>
        </w:rPr>
        <w:t>Teta, Mother and Me</w:t>
      </w:r>
      <w:r w:rsidRPr="00F1103D">
        <w:rPr>
          <w:rFonts w:ascii="Palatino Linotype" w:hAnsi="Palatino Linotype"/>
        </w:rPr>
        <w:t>: 151.</w:t>
      </w:r>
    </w:p>
  </w:footnote>
  <w:footnote w:id="140">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Later perceptions on Rahil (Ata) al-Bustani are presented in ‘Isa Iskandar al-Ma’luf, ‘Rahil ‘Ata zawjat al-mu‛allim Butrus al-Bustani’, </w:t>
      </w:r>
      <w:r w:rsidRPr="00F1103D">
        <w:rPr>
          <w:rFonts w:ascii="Palatino Linotype" w:hAnsi="Palatino Linotype"/>
          <w:i/>
        </w:rPr>
        <w:t>Fatat al-sharq</w:t>
      </w:r>
      <w:r w:rsidRPr="00F1103D">
        <w:rPr>
          <w:rFonts w:ascii="Palatino Linotype" w:hAnsi="Palatino Linotype"/>
        </w:rPr>
        <w:t>, 14:1 (1919): 1-2, cited and analysed in Booth, ‘She Herself was the Ultimate Rule’: 432-438.</w:t>
      </w:r>
    </w:p>
  </w:footnote>
  <w:footnote w:id="141">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Booth, ‘She Herself was the Ultimate Rule’: 435.</w:t>
      </w:r>
    </w:p>
  </w:footnote>
  <w:footnote w:id="142">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w:t>
      </w:r>
      <w:r w:rsidRPr="00F1103D">
        <w:rPr>
          <w:rFonts w:ascii="Palatino Linotype" w:hAnsi="Palatino Linotype" w:cs="Arial"/>
        </w:rPr>
        <w:t xml:space="preserve">Hooker, </w:t>
      </w:r>
      <w:r w:rsidRPr="00F1103D">
        <w:rPr>
          <w:rFonts w:ascii="Palatino Linotype" w:hAnsi="Palatino Linotype" w:cs="Arial"/>
          <w:i/>
        </w:rPr>
        <w:t>MSLS</w:t>
      </w:r>
      <w:r w:rsidRPr="00F1103D">
        <w:rPr>
          <w:rFonts w:ascii="Palatino Linotype" w:hAnsi="Palatino Linotype" w:cs="Arial"/>
        </w:rPr>
        <w:t xml:space="preserve">: 233. </w:t>
      </w:r>
      <w:r w:rsidRPr="00F1103D">
        <w:rPr>
          <w:rFonts w:ascii="Palatino Linotype" w:hAnsi="Palatino Linotype"/>
        </w:rPr>
        <w:t xml:space="preserve">Compare with Ryan, </w:t>
      </w:r>
      <w:r w:rsidRPr="00F1103D">
        <w:rPr>
          <w:rFonts w:ascii="Palatino Linotype" w:hAnsi="Palatino Linotype"/>
          <w:i/>
        </w:rPr>
        <w:t>Cradle of the Middle Class</w:t>
      </w:r>
      <w:r w:rsidRPr="00F1103D">
        <w:rPr>
          <w:rFonts w:ascii="Palatino Linotype" w:hAnsi="Palatino Linotype"/>
        </w:rPr>
        <w:t xml:space="preserve">: 77; Goodrich in McDannell, </w:t>
      </w:r>
      <w:r w:rsidRPr="00F1103D">
        <w:rPr>
          <w:rFonts w:ascii="Palatino Linotype" w:hAnsi="Palatino Linotype"/>
          <w:i/>
        </w:rPr>
        <w:t>Material Christianity</w:t>
      </w:r>
      <w:r w:rsidRPr="00F1103D">
        <w:rPr>
          <w:rFonts w:ascii="Palatino Linotype" w:hAnsi="Palatino Linotype"/>
        </w:rPr>
        <w:t>: 80.</w:t>
      </w:r>
    </w:p>
  </w:footnote>
  <w:footnote w:id="143">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w:t>
      </w:r>
      <w:r w:rsidRPr="00F1103D">
        <w:rPr>
          <w:rFonts w:ascii="Palatino Linotype" w:hAnsi="Palatino Linotype" w:cs="Arial"/>
        </w:rPr>
        <w:t xml:space="preserve">Jessup, </w:t>
      </w:r>
      <w:r w:rsidRPr="00F1103D">
        <w:rPr>
          <w:rFonts w:ascii="Palatino Linotype" w:hAnsi="Palatino Linotype" w:cs="Arial"/>
          <w:i/>
        </w:rPr>
        <w:t>WA</w:t>
      </w:r>
      <w:r w:rsidRPr="00F1103D">
        <w:rPr>
          <w:rFonts w:ascii="Palatino Linotype" w:hAnsi="Palatino Linotype" w:cs="Arial"/>
        </w:rPr>
        <w:t>: 151-156.</w:t>
      </w:r>
    </w:p>
  </w:footnote>
  <w:footnote w:id="144">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Smith, ‘Letter to Matilda Whiting’ (Beirut, 4 June 1835). </w:t>
      </w:r>
    </w:p>
  </w:footnote>
  <w:footnote w:id="145">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Makdisi, </w:t>
      </w:r>
      <w:r w:rsidRPr="00F1103D">
        <w:rPr>
          <w:rFonts w:ascii="Palatino Linotype" w:hAnsi="Palatino Linotype"/>
          <w:i/>
        </w:rPr>
        <w:t>Teta, Mother and Me</w:t>
      </w:r>
      <w:r w:rsidRPr="00F1103D">
        <w:rPr>
          <w:rFonts w:ascii="Palatino Linotype" w:hAnsi="Palatino Linotype"/>
        </w:rPr>
        <w:t>: 152.</w:t>
      </w:r>
    </w:p>
  </w:footnote>
  <w:footnote w:id="146">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Jessup, </w:t>
      </w:r>
      <w:r w:rsidRPr="00F1103D">
        <w:rPr>
          <w:rFonts w:ascii="Palatino Linotype" w:hAnsi="Palatino Linotype"/>
          <w:i/>
        </w:rPr>
        <w:t>WA</w:t>
      </w:r>
      <w:r w:rsidRPr="00F1103D">
        <w:rPr>
          <w:rFonts w:ascii="Palatino Linotype" w:hAnsi="Palatino Linotype"/>
        </w:rPr>
        <w:t xml:space="preserve">: 67; Henry Harris Jessup, ‘American Mission Work in Syria’, </w:t>
      </w:r>
      <w:r w:rsidRPr="00F1103D">
        <w:rPr>
          <w:rFonts w:ascii="Palatino Linotype" w:hAnsi="Palatino Linotype"/>
          <w:i/>
        </w:rPr>
        <w:t>The Missionary Magazine</w:t>
      </w:r>
      <w:r w:rsidRPr="00F1103D">
        <w:rPr>
          <w:rFonts w:ascii="Palatino Linotype" w:hAnsi="Palatino Linotype"/>
        </w:rPr>
        <w:t xml:space="preserve"> (Boston: American Baptist Missionary Union, 1865): 187-188.</w:t>
      </w:r>
    </w:p>
  </w:footnote>
  <w:footnote w:id="147">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Bliss, </w:t>
      </w:r>
      <w:r w:rsidRPr="00F1103D">
        <w:rPr>
          <w:rFonts w:ascii="Palatino Linotype" w:hAnsi="Palatino Linotype"/>
          <w:i/>
        </w:rPr>
        <w:t>RDS</w:t>
      </w:r>
      <w:r w:rsidRPr="00F1103D">
        <w:rPr>
          <w:rFonts w:ascii="Palatino Linotype" w:hAnsi="Palatino Linotype"/>
        </w:rPr>
        <w:t>: 62.</w:t>
      </w:r>
    </w:p>
  </w:footnote>
  <w:footnote w:id="148">
    <w:p w:rsidR="00D42FBF" w:rsidRPr="00F1103D" w:rsidRDefault="00D42FBF" w:rsidP="001761FF">
      <w:pPr>
        <w:pStyle w:val="FootnoteText"/>
        <w:ind w:left="90" w:hanging="90"/>
        <w:jc w:val="both"/>
        <w:rPr>
          <w:rFonts w:ascii="Palatino Linotype" w:hAnsi="Palatino Linotype" w:cs="Arial"/>
        </w:rPr>
      </w:pPr>
      <w:r w:rsidRPr="00F1103D">
        <w:rPr>
          <w:rStyle w:val="FootnoteReference"/>
          <w:rFonts w:ascii="Palatino Linotype" w:hAnsi="Palatino Linotype"/>
        </w:rPr>
        <w:footnoteRef/>
      </w:r>
      <w:r w:rsidRPr="00F1103D">
        <w:rPr>
          <w:rFonts w:ascii="Palatino Linotype" w:hAnsi="Palatino Linotype"/>
        </w:rPr>
        <w:t xml:space="preserve"> </w:t>
      </w:r>
      <w:r w:rsidRPr="00F1103D">
        <w:rPr>
          <w:rFonts w:ascii="Palatino Linotype" w:hAnsi="Palatino Linotype" w:cs="Arial"/>
        </w:rPr>
        <w:t>Ely, ‘Candidate Letter for Maria M. Chapin’; Gilman, ‘Candidate Letter for Sarah Lanman Huntington’.</w:t>
      </w:r>
    </w:p>
  </w:footnote>
  <w:footnote w:id="149">
    <w:p w:rsidR="00D42FBF" w:rsidRPr="00F1103D" w:rsidRDefault="00D42FBF" w:rsidP="001761FF">
      <w:pPr>
        <w:pStyle w:val="FootnoteText"/>
        <w:ind w:left="90" w:hanging="90"/>
        <w:jc w:val="both"/>
        <w:rPr>
          <w:rFonts w:ascii="Palatino Linotype" w:hAnsi="Palatino Linotype" w:cs="Arial"/>
        </w:rPr>
      </w:pPr>
      <w:r w:rsidRPr="00F1103D">
        <w:rPr>
          <w:rStyle w:val="FootnoteReference"/>
          <w:rFonts w:ascii="Palatino Linotype" w:hAnsi="Palatino Linotype"/>
        </w:rPr>
        <w:footnoteRef/>
      </w:r>
      <w:r w:rsidRPr="00F1103D">
        <w:rPr>
          <w:rFonts w:ascii="Palatino Linotype" w:hAnsi="Palatino Linotype"/>
        </w:rPr>
        <w:t xml:space="preserve"> </w:t>
      </w:r>
      <w:r w:rsidRPr="00F1103D">
        <w:rPr>
          <w:rFonts w:ascii="Palatino Linotype" w:hAnsi="Palatino Linotype" w:cs="Arial"/>
        </w:rPr>
        <w:t>Henrietta Smith, ‘Letter to Sister’ (n.s., 22 September [1846]): YDS: ES Box 1: Folder 15.</w:t>
      </w:r>
    </w:p>
  </w:footnote>
  <w:footnote w:id="150">
    <w:p w:rsidR="00D42FBF" w:rsidRPr="00F1103D" w:rsidRDefault="00D42FBF" w:rsidP="001761FF">
      <w:pPr>
        <w:ind w:left="90" w:hanging="90"/>
        <w:jc w:val="both"/>
        <w:rPr>
          <w:rFonts w:ascii="Palatino Linotype" w:hAnsi="Palatino Linotype"/>
          <w:sz w:val="20"/>
          <w:szCs w:val="20"/>
        </w:rPr>
      </w:pPr>
      <w:r w:rsidRPr="00F1103D">
        <w:rPr>
          <w:rStyle w:val="FootnoteReference"/>
          <w:rFonts w:ascii="Palatino Linotype" w:hAnsi="Palatino Linotype"/>
          <w:sz w:val="20"/>
          <w:szCs w:val="20"/>
        </w:rPr>
        <w:footnoteRef/>
      </w:r>
      <w:r w:rsidRPr="00F1103D">
        <w:rPr>
          <w:rFonts w:ascii="Palatino Linotype" w:hAnsi="Palatino Linotype"/>
          <w:sz w:val="20"/>
          <w:szCs w:val="20"/>
        </w:rPr>
        <w:t xml:space="preserve"> Kim Trolley, ‘The Rise of the Academies: Continuity or Change?’, </w:t>
      </w:r>
      <w:r w:rsidRPr="00F1103D">
        <w:rPr>
          <w:rFonts w:ascii="Palatino Linotype" w:hAnsi="Palatino Linotype"/>
          <w:i/>
          <w:iCs/>
          <w:sz w:val="20"/>
          <w:szCs w:val="20"/>
        </w:rPr>
        <w:t>History of Education Quarterly</w:t>
      </w:r>
      <w:r w:rsidRPr="00F1103D">
        <w:rPr>
          <w:rFonts w:ascii="Palatino Linotype" w:hAnsi="Palatino Linotype"/>
          <w:sz w:val="20"/>
          <w:szCs w:val="20"/>
        </w:rPr>
        <w:t>, 41:2 (2001): 227, 233-236.</w:t>
      </w:r>
    </w:p>
  </w:footnote>
  <w:footnote w:id="151">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Margaret A. Nash, ‘“Cultivating the Powers of Human Beings”: Gendered Perspectives on Curricula and Pedagogy in Academies of the New Republic’, </w:t>
      </w:r>
      <w:r w:rsidRPr="00F1103D">
        <w:rPr>
          <w:rFonts w:ascii="Palatino Linotype" w:hAnsi="Palatino Linotype"/>
          <w:i/>
        </w:rPr>
        <w:t>History of Education Quarterly</w:t>
      </w:r>
      <w:r w:rsidRPr="00F1103D">
        <w:rPr>
          <w:rFonts w:ascii="Palatino Linotype" w:hAnsi="Palatino Linotype"/>
        </w:rPr>
        <w:t>, 41:2 (2001): 244, 246-247.</w:t>
      </w:r>
    </w:p>
  </w:footnote>
  <w:footnote w:id="152">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Nash, ‘Cultivating the Powers of Human Beings’: 241.</w:t>
      </w:r>
    </w:p>
  </w:footnote>
  <w:footnote w:id="153">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w:t>
      </w:r>
      <w:r w:rsidRPr="00F1103D">
        <w:rPr>
          <w:rFonts w:ascii="Palatino Linotype" w:hAnsi="Palatino Linotype"/>
          <w:i/>
        </w:rPr>
        <w:t>MH</w:t>
      </w:r>
      <w:r w:rsidRPr="00F1103D">
        <w:rPr>
          <w:rFonts w:ascii="Palatino Linotype" w:hAnsi="Palatino Linotype"/>
        </w:rPr>
        <w:t xml:space="preserve"> (1834): 127-8; ABCFM, </w:t>
      </w:r>
      <w:r w:rsidRPr="00F1103D">
        <w:rPr>
          <w:rFonts w:ascii="Palatino Linotype" w:hAnsi="Palatino Linotype"/>
          <w:i/>
        </w:rPr>
        <w:t>Annual Report</w:t>
      </w:r>
      <w:r w:rsidRPr="00F1103D">
        <w:rPr>
          <w:rFonts w:ascii="Palatino Linotype" w:hAnsi="Palatino Linotype"/>
        </w:rPr>
        <w:t xml:space="preserve"> (Beirut, 1835).</w:t>
      </w:r>
    </w:p>
  </w:footnote>
  <w:footnote w:id="154">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w:t>
      </w:r>
      <w:r w:rsidRPr="00F1103D">
        <w:rPr>
          <w:rFonts w:ascii="Palatino Linotype" w:hAnsi="Palatino Linotype"/>
          <w:i/>
        </w:rPr>
        <w:t>MH</w:t>
      </w:r>
      <w:r w:rsidRPr="00F1103D">
        <w:rPr>
          <w:rFonts w:ascii="Palatino Linotype" w:hAnsi="Palatino Linotype"/>
        </w:rPr>
        <w:t xml:space="preserve"> (1834): 412; Smith, ‘Letter to Brother’ (Bhamdoun, 14 August 1834); </w:t>
      </w:r>
      <w:r w:rsidRPr="00F1103D">
        <w:rPr>
          <w:rFonts w:ascii="Palatino Linotype" w:hAnsi="Palatino Linotype"/>
          <w:i/>
        </w:rPr>
        <w:t xml:space="preserve">MH </w:t>
      </w:r>
      <w:r w:rsidRPr="00F1103D">
        <w:rPr>
          <w:rFonts w:ascii="Palatino Linotype" w:hAnsi="Palatino Linotype"/>
        </w:rPr>
        <w:t xml:space="preserve">(1837): 445; </w:t>
      </w:r>
      <w:r w:rsidRPr="00F1103D">
        <w:rPr>
          <w:rFonts w:ascii="Palatino Linotype" w:hAnsi="Palatino Linotype"/>
          <w:i/>
        </w:rPr>
        <w:t>MH</w:t>
      </w:r>
      <w:r w:rsidRPr="00F1103D">
        <w:rPr>
          <w:rFonts w:ascii="Palatino Linotype" w:hAnsi="Palatino Linotype"/>
        </w:rPr>
        <w:t xml:space="preserve"> (1840): 52; </w:t>
      </w:r>
      <w:r w:rsidRPr="00F1103D">
        <w:rPr>
          <w:rFonts w:ascii="Palatino Linotype" w:hAnsi="Palatino Linotype" w:cs="Arial"/>
          <w:i/>
        </w:rPr>
        <w:t>MH</w:t>
      </w:r>
      <w:r w:rsidRPr="00F1103D">
        <w:rPr>
          <w:rFonts w:ascii="Palatino Linotype" w:hAnsi="Palatino Linotype" w:cs="Arial"/>
        </w:rPr>
        <w:t xml:space="preserve"> (1837): 445. The orrery is a device that uses a mechanical clock to illustrates relative position and movement of the planets around the sun.</w:t>
      </w:r>
    </w:p>
  </w:footnote>
  <w:footnote w:id="155">
    <w:p w:rsidR="00D42FBF" w:rsidRPr="00F1103D" w:rsidRDefault="00D42FBF" w:rsidP="001761FF">
      <w:pPr>
        <w:pStyle w:val="FootnoteText"/>
        <w:ind w:left="90" w:hanging="90"/>
        <w:jc w:val="both"/>
        <w:rPr>
          <w:rFonts w:ascii="Palatino Linotype" w:hAnsi="Palatino Linotype" w:cs="Arial"/>
        </w:rPr>
      </w:pPr>
      <w:r w:rsidRPr="00F1103D">
        <w:rPr>
          <w:rStyle w:val="FootnoteReference"/>
          <w:rFonts w:ascii="Palatino Linotype" w:hAnsi="Palatino Linotype"/>
        </w:rPr>
        <w:footnoteRef/>
      </w:r>
      <w:r w:rsidRPr="00F1103D">
        <w:rPr>
          <w:rFonts w:ascii="Palatino Linotype" w:hAnsi="Palatino Linotype"/>
        </w:rPr>
        <w:t xml:space="preserve"> </w:t>
      </w:r>
      <w:r w:rsidRPr="00F1103D">
        <w:rPr>
          <w:rFonts w:ascii="Palatino Linotype" w:hAnsi="Palatino Linotype" w:cs="Arial"/>
        </w:rPr>
        <w:t xml:space="preserve">Jessup, </w:t>
      </w:r>
      <w:r w:rsidRPr="00F1103D">
        <w:rPr>
          <w:rFonts w:ascii="Palatino Linotype" w:hAnsi="Palatino Linotype" w:cs="Arial"/>
          <w:i/>
        </w:rPr>
        <w:t>WA</w:t>
      </w:r>
      <w:r w:rsidRPr="00F1103D">
        <w:rPr>
          <w:rFonts w:ascii="Palatino Linotype" w:hAnsi="Palatino Linotype" w:cs="Arial"/>
        </w:rPr>
        <w:t xml:space="preserve">: 76-82; Lindsay, </w:t>
      </w:r>
      <w:r w:rsidRPr="00F1103D">
        <w:rPr>
          <w:rFonts w:ascii="Palatino Linotype" w:hAnsi="Palatino Linotype" w:cs="Arial"/>
          <w:i/>
          <w:iCs/>
        </w:rPr>
        <w:t>Nineteenth Century American Schools</w:t>
      </w:r>
      <w:r w:rsidRPr="00F1103D">
        <w:rPr>
          <w:rFonts w:ascii="Palatino Linotype" w:hAnsi="Palatino Linotype" w:cs="Arial"/>
        </w:rPr>
        <w:t>: 128.</w:t>
      </w:r>
    </w:p>
  </w:footnote>
  <w:footnote w:id="156">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cs="Palatino Linotype"/>
        </w:rPr>
        <w:footnoteRef/>
      </w:r>
      <w:r w:rsidRPr="00F1103D">
        <w:rPr>
          <w:rFonts w:ascii="Palatino Linotype" w:hAnsi="Palatino Linotype" w:cs="Palatino Linotype"/>
        </w:rPr>
        <w:t xml:space="preserve"> Murre-van den Berg recognises ‘health care’ as characteristic of Protestant missionary women’s activities in the Middle East. Murre-van den Berg, ‘Nineteenth-Century Protestant Missions’: 110.</w:t>
      </w:r>
    </w:p>
  </w:footnote>
  <w:footnote w:id="157">
    <w:p w:rsidR="00D42FBF" w:rsidRPr="00F1103D" w:rsidRDefault="00D42FBF" w:rsidP="001761FF">
      <w:pPr>
        <w:ind w:left="90" w:hanging="90"/>
        <w:jc w:val="both"/>
        <w:rPr>
          <w:rFonts w:ascii="Palatino Linotype" w:hAnsi="Palatino Linotype"/>
          <w:sz w:val="20"/>
          <w:szCs w:val="20"/>
        </w:rPr>
      </w:pPr>
      <w:r w:rsidRPr="00F1103D">
        <w:rPr>
          <w:rStyle w:val="FootnoteReference"/>
          <w:rFonts w:ascii="Palatino Linotype" w:hAnsi="Palatino Linotype" w:cs="Palatino Linotype"/>
          <w:sz w:val="20"/>
          <w:szCs w:val="20"/>
        </w:rPr>
        <w:footnoteRef/>
      </w:r>
      <w:r w:rsidRPr="00F1103D">
        <w:rPr>
          <w:rFonts w:ascii="Palatino Linotype" w:hAnsi="Palatino Linotype" w:cs="Palatino Linotype"/>
          <w:sz w:val="20"/>
          <w:szCs w:val="20"/>
        </w:rPr>
        <w:t xml:space="preserve"> Smith, ‘Letter to Sister’ (Bhamdoun, 4 September 1852).</w:t>
      </w:r>
    </w:p>
  </w:footnote>
  <w:footnote w:id="158">
    <w:p w:rsidR="00D42FBF" w:rsidRPr="00F1103D" w:rsidRDefault="00D42FBF" w:rsidP="001761FF">
      <w:pPr>
        <w:tabs>
          <w:tab w:val="left" w:pos="180"/>
        </w:tabs>
        <w:ind w:left="90" w:hanging="90"/>
        <w:jc w:val="both"/>
        <w:rPr>
          <w:rFonts w:ascii="Palatino Linotype" w:hAnsi="Palatino Linotype"/>
          <w:sz w:val="20"/>
          <w:szCs w:val="20"/>
        </w:rPr>
      </w:pPr>
      <w:r w:rsidRPr="00F1103D">
        <w:rPr>
          <w:rStyle w:val="FootnoteReference"/>
          <w:rFonts w:ascii="Palatino Linotype" w:hAnsi="Palatino Linotype" w:cs="Palatino Linotype"/>
          <w:sz w:val="20"/>
          <w:szCs w:val="20"/>
        </w:rPr>
        <w:footnoteRef/>
      </w:r>
      <w:r w:rsidRPr="00F1103D">
        <w:rPr>
          <w:rFonts w:ascii="Palatino Linotype" w:hAnsi="Palatino Linotype" w:cs="Palatino Linotype"/>
          <w:sz w:val="20"/>
          <w:szCs w:val="20"/>
        </w:rPr>
        <w:t xml:space="preserve"> Rebecca Williams ‘Letter to brother James’ (Abeih, 5 October 1838), in:  Williams, ‘Rebecca Williams Hebard’: 15.</w:t>
      </w:r>
    </w:p>
  </w:footnote>
  <w:footnote w:id="159">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cs="Palatino Linotype"/>
        </w:rPr>
        <w:footnoteRef/>
      </w:r>
      <w:r w:rsidRPr="00F1103D">
        <w:rPr>
          <w:rFonts w:ascii="Palatino Linotype" w:hAnsi="Palatino Linotype" w:cs="Palatino Linotype"/>
        </w:rPr>
        <w:t xml:space="preserve"> DeForest, ‘Letter to E. Smith’ (Abeih, 30 August [1853]).</w:t>
      </w:r>
    </w:p>
  </w:footnote>
  <w:footnote w:id="160">
    <w:p w:rsidR="00D42FBF" w:rsidRPr="00F1103D" w:rsidRDefault="00D42FBF" w:rsidP="001761FF">
      <w:pPr>
        <w:ind w:left="90" w:hanging="90"/>
        <w:jc w:val="both"/>
        <w:rPr>
          <w:rFonts w:ascii="Palatino Linotype" w:hAnsi="Palatino Linotype"/>
          <w:sz w:val="20"/>
          <w:szCs w:val="20"/>
        </w:rPr>
      </w:pPr>
      <w:r w:rsidRPr="00F1103D">
        <w:rPr>
          <w:rStyle w:val="FootnoteReference"/>
          <w:rFonts w:ascii="Palatino Linotype" w:hAnsi="Palatino Linotype" w:cs="Palatino Linotype"/>
          <w:sz w:val="20"/>
          <w:szCs w:val="20"/>
        </w:rPr>
        <w:footnoteRef/>
      </w:r>
      <w:r w:rsidRPr="00F1103D">
        <w:rPr>
          <w:rFonts w:ascii="Palatino Linotype" w:hAnsi="Palatino Linotype" w:cs="Palatino Linotype"/>
          <w:sz w:val="20"/>
          <w:szCs w:val="20"/>
        </w:rPr>
        <w:t xml:space="preserve"> Miriam Clark Potter, ‘Biographical Sketch of Loanza Goulding Benton’ in: Loanza Goulding Benton, </w:t>
      </w:r>
      <w:r w:rsidRPr="00F1103D">
        <w:rPr>
          <w:rFonts w:ascii="Palatino Linotype" w:hAnsi="Palatino Linotype" w:cs="Palatino Linotype"/>
          <w:i/>
          <w:sz w:val="20"/>
          <w:szCs w:val="20"/>
        </w:rPr>
        <w:t>A Diary and Some Reminiscences of Loanza Goulding Beton: Mrs. William Austin Benton Missionary to Syria: 1847-1869</w:t>
      </w:r>
      <w:r w:rsidRPr="00F1103D">
        <w:rPr>
          <w:rFonts w:ascii="Palatino Linotype" w:hAnsi="Palatino Linotype" w:cs="Palatino Linotype"/>
          <w:sz w:val="20"/>
          <w:szCs w:val="20"/>
        </w:rPr>
        <w:t xml:space="preserve"> (unpublished memoir): Sophia Smith Collection, Smith College Religion Collection: Box 5: Folder 56: 3;</w:t>
      </w:r>
      <w:r w:rsidRPr="00F1103D">
        <w:rPr>
          <w:rFonts w:ascii="Palatino Linotype" w:hAnsi="Palatino Linotype" w:cs="Palatino Linotype"/>
          <w:i/>
          <w:sz w:val="20"/>
          <w:szCs w:val="20"/>
        </w:rPr>
        <w:t xml:space="preserve"> </w:t>
      </w:r>
      <w:r w:rsidRPr="00F1103D">
        <w:rPr>
          <w:rFonts w:ascii="Palatino Linotype" w:hAnsi="Palatino Linotype" w:cs="Palatino Linotype"/>
          <w:sz w:val="20"/>
          <w:szCs w:val="20"/>
        </w:rPr>
        <w:t xml:space="preserve">Jessup, </w:t>
      </w:r>
      <w:r w:rsidRPr="00F1103D">
        <w:rPr>
          <w:rFonts w:ascii="Palatino Linotype" w:hAnsi="Palatino Linotype" w:cs="Palatino Linotype"/>
          <w:i/>
          <w:iCs/>
          <w:sz w:val="20"/>
          <w:szCs w:val="20"/>
        </w:rPr>
        <w:t>Fifty-Three Years in Syria</w:t>
      </w:r>
      <w:r w:rsidRPr="00F1103D">
        <w:rPr>
          <w:rFonts w:ascii="Palatino Linotype" w:hAnsi="Palatino Linotype" w:cs="Palatino Linotype"/>
          <w:sz w:val="20"/>
          <w:szCs w:val="20"/>
        </w:rPr>
        <w:t xml:space="preserve">: 154. For more on the development of medical training in the United States and the gendering of this training, see Ehrenreich and English, </w:t>
      </w:r>
      <w:r w:rsidRPr="00F1103D">
        <w:rPr>
          <w:rFonts w:ascii="Palatino Linotype" w:hAnsi="Palatino Linotype" w:cs="Palatino Linotype"/>
          <w:i/>
          <w:iCs/>
          <w:sz w:val="20"/>
          <w:szCs w:val="20"/>
        </w:rPr>
        <w:t>Witches, Midwives and Nurses</w:t>
      </w:r>
      <w:r w:rsidRPr="00F1103D">
        <w:rPr>
          <w:rFonts w:ascii="Palatino Linotype" w:hAnsi="Palatino Linotype" w:cs="Palatino Linotype"/>
          <w:sz w:val="20"/>
          <w:szCs w:val="20"/>
        </w:rPr>
        <w:t>: 44-45.</w:t>
      </w:r>
    </w:p>
  </w:footnote>
  <w:footnote w:id="161">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w:t>
      </w:r>
      <w:r w:rsidRPr="00F1103D">
        <w:rPr>
          <w:rFonts w:ascii="Palatino Linotype" w:hAnsi="Palatino Linotype"/>
          <w:i/>
        </w:rPr>
        <w:t>MH</w:t>
      </w:r>
      <w:r w:rsidRPr="00F1103D">
        <w:rPr>
          <w:rFonts w:ascii="Palatino Linotype" w:hAnsi="Palatino Linotype"/>
        </w:rPr>
        <w:t xml:space="preserve"> (1856): 5; Vinton, </w:t>
      </w:r>
      <w:r w:rsidRPr="00F1103D">
        <w:rPr>
          <w:rFonts w:ascii="Palatino Linotype" w:hAnsi="Palatino Linotype"/>
          <w:i/>
          <w:iCs/>
        </w:rPr>
        <w:t>A Biographical Dictionary</w:t>
      </w:r>
      <w:r w:rsidRPr="00F1103D">
        <w:rPr>
          <w:rFonts w:ascii="Palatino Linotype" w:hAnsi="Palatino Linotype"/>
          <w:iCs/>
        </w:rPr>
        <w:t>: 104, 110-111.</w:t>
      </w:r>
    </w:p>
  </w:footnote>
  <w:footnote w:id="162">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The Protestants recognised that some girls in Syria were also educated at schools independent of the ABCFM. </w:t>
      </w:r>
      <w:r w:rsidRPr="00F1103D">
        <w:rPr>
          <w:rFonts w:ascii="Palatino Linotype" w:hAnsi="Palatino Linotype"/>
          <w:i/>
        </w:rPr>
        <w:t>MH</w:t>
      </w:r>
      <w:r w:rsidRPr="00F1103D">
        <w:rPr>
          <w:rFonts w:ascii="Palatino Linotype" w:hAnsi="Palatino Linotype"/>
        </w:rPr>
        <w:t xml:space="preserve"> (1835): 132; Mishaqa, </w:t>
      </w:r>
      <w:r w:rsidRPr="00F1103D">
        <w:rPr>
          <w:rFonts w:ascii="Palatino Linotype" w:hAnsi="Palatino Linotype"/>
          <w:i/>
        </w:rPr>
        <w:t>Murder, Mayhem, Pillage and Plunder</w:t>
      </w:r>
      <w:r w:rsidRPr="00F1103D">
        <w:rPr>
          <w:rFonts w:ascii="Palatino Linotype" w:hAnsi="Palatino Linotype"/>
        </w:rPr>
        <w:t>:</w:t>
      </w:r>
      <w:r w:rsidRPr="00F1103D">
        <w:rPr>
          <w:rFonts w:ascii="Palatino Linotype" w:hAnsi="Palatino Linotype"/>
          <w:i/>
        </w:rPr>
        <w:t xml:space="preserve"> </w:t>
      </w:r>
      <w:r w:rsidRPr="00F1103D">
        <w:rPr>
          <w:rFonts w:ascii="Palatino Linotype" w:hAnsi="Palatino Linotype"/>
        </w:rPr>
        <w:t xml:space="preserve">190. </w:t>
      </w:r>
    </w:p>
  </w:footnote>
  <w:footnote w:id="163">
    <w:p w:rsidR="00D42FBF" w:rsidRPr="00F1103D" w:rsidRDefault="00D42FBF" w:rsidP="001761FF">
      <w:pPr>
        <w:pStyle w:val="FootnoteText"/>
        <w:tabs>
          <w:tab w:val="left" w:pos="180"/>
        </w:tabs>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For an analysis of the different influences on Syrian women’s knowledge, such as place of residency and economic wealth, see Klink, ‘Beyond the Tantur’: 88-103, 275-293, 317-358.</w:t>
      </w:r>
    </w:p>
  </w:footnote>
  <w:footnote w:id="164">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Ironically, differentiating between the dietary regulations for each church’s celebrations was a source of frustration for the ABCFM missionaries. Hooker, </w:t>
      </w:r>
      <w:r w:rsidRPr="00F1103D">
        <w:rPr>
          <w:rFonts w:ascii="Palatino Linotype" w:hAnsi="Palatino Linotype"/>
          <w:i/>
        </w:rPr>
        <w:t>MSLS</w:t>
      </w:r>
      <w:r w:rsidRPr="00F1103D">
        <w:rPr>
          <w:rFonts w:ascii="Palatino Linotype" w:hAnsi="Palatino Linotype"/>
        </w:rPr>
        <w:t>: 143-144.</w:t>
      </w:r>
    </w:p>
  </w:footnote>
  <w:footnote w:id="165">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w:t>
      </w:r>
      <w:r w:rsidRPr="00F1103D">
        <w:rPr>
          <w:rFonts w:ascii="Palatino Linotype" w:hAnsi="Palatino Linotype" w:cs="Arial"/>
          <w:i/>
        </w:rPr>
        <w:t>MH</w:t>
      </w:r>
      <w:r w:rsidRPr="00F1103D">
        <w:rPr>
          <w:rFonts w:ascii="Palatino Linotype" w:hAnsi="Palatino Linotype" w:cs="Arial"/>
        </w:rPr>
        <w:t xml:space="preserve"> (1845): 19.</w:t>
      </w:r>
    </w:p>
  </w:footnote>
  <w:footnote w:id="166">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w:t>
      </w:r>
      <w:r w:rsidRPr="00F1103D">
        <w:rPr>
          <w:rFonts w:ascii="Palatino Linotype" w:hAnsi="Palatino Linotype"/>
          <w:i/>
        </w:rPr>
        <w:t>MH</w:t>
      </w:r>
      <w:r w:rsidRPr="00F1103D">
        <w:rPr>
          <w:rFonts w:ascii="Palatino Linotype" w:hAnsi="Palatino Linotype"/>
        </w:rPr>
        <w:t xml:space="preserve"> (1846): 414.</w:t>
      </w:r>
    </w:p>
  </w:footnote>
  <w:footnote w:id="167">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w:t>
      </w:r>
      <w:r w:rsidRPr="00F1103D">
        <w:rPr>
          <w:rFonts w:ascii="Palatino Linotype" w:hAnsi="Palatino Linotype"/>
          <w:i/>
        </w:rPr>
        <w:t>MH</w:t>
      </w:r>
      <w:r w:rsidRPr="00F1103D">
        <w:rPr>
          <w:rFonts w:ascii="Palatino Linotype" w:hAnsi="Palatino Linotype"/>
        </w:rPr>
        <w:t xml:space="preserve"> (1834): 412; ABCFM, </w:t>
      </w:r>
      <w:r w:rsidRPr="00F1103D">
        <w:rPr>
          <w:rFonts w:ascii="Palatino Linotype" w:hAnsi="Palatino Linotype"/>
          <w:i/>
        </w:rPr>
        <w:t>Annual Report</w:t>
      </w:r>
      <w:r w:rsidRPr="00F1103D">
        <w:rPr>
          <w:rFonts w:ascii="Palatino Linotype" w:hAnsi="Palatino Linotype"/>
        </w:rPr>
        <w:t xml:space="preserve"> (Mount Lebanon, 1845); George B. Whiting and Henry A. DeForest, ‘Letter to R. Anderson’ (Abeih, 5 August 1850), in: Yazigy, ‘American Presbyterian Mission Schools in Lebanon’: 133-137; DeForest, ‘Letter to R. Anderson’ (Abeih, 15 August 1850).</w:t>
      </w:r>
    </w:p>
  </w:footnote>
  <w:footnote w:id="168">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ABCFM, </w:t>
      </w:r>
      <w:r w:rsidRPr="00F1103D">
        <w:rPr>
          <w:rFonts w:ascii="Palatino Linotype" w:hAnsi="Palatino Linotype"/>
          <w:i/>
        </w:rPr>
        <w:t>Annual Report</w:t>
      </w:r>
      <w:r w:rsidRPr="00F1103D">
        <w:rPr>
          <w:rFonts w:ascii="Palatino Linotype" w:hAnsi="Palatino Linotype"/>
        </w:rPr>
        <w:t xml:space="preserve"> (Beirut, 1835); ABCFM, </w:t>
      </w:r>
      <w:r w:rsidRPr="00F1103D">
        <w:rPr>
          <w:rFonts w:ascii="Palatino Linotype" w:hAnsi="Palatino Linotype"/>
          <w:i/>
        </w:rPr>
        <w:t>Annual Report</w:t>
      </w:r>
      <w:r w:rsidRPr="00F1103D">
        <w:rPr>
          <w:rFonts w:ascii="Palatino Linotype" w:hAnsi="Palatino Linotype"/>
        </w:rPr>
        <w:t xml:space="preserve"> (Beirut, 1850).</w:t>
      </w:r>
    </w:p>
  </w:footnote>
  <w:footnote w:id="169">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Whiting, ‘Report: Native Girls Under Instruction in the Mission Families’ (Beirut, 20 March 1844).</w:t>
      </w:r>
    </w:p>
  </w:footnote>
  <w:footnote w:id="170">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DeForest, ‘Letter to R. Anderson’ (Abeih, 15 August 1850): 142; ABCFM, </w:t>
      </w:r>
      <w:r w:rsidRPr="00F1103D">
        <w:rPr>
          <w:rFonts w:ascii="Palatino Linotype" w:hAnsi="Palatino Linotype"/>
          <w:i/>
        </w:rPr>
        <w:t>Annual Report</w:t>
      </w:r>
      <w:r w:rsidRPr="00F1103D">
        <w:rPr>
          <w:rFonts w:ascii="Palatino Linotype" w:hAnsi="Palatino Linotype"/>
        </w:rPr>
        <w:t xml:space="preserve"> (Beirut, 1840).</w:t>
      </w:r>
    </w:p>
  </w:footnote>
  <w:footnote w:id="171">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DeForest, ‘Letter to R. Anderson’ (Abeih, 15 August 1850): 142; ABCFM, </w:t>
      </w:r>
      <w:r w:rsidRPr="00F1103D">
        <w:rPr>
          <w:rFonts w:ascii="Palatino Linotype" w:hAnsi="Palatino Linotype"/>
          <w:i/>
        </w:rPr>
        <w:t>Annual Report</w:t>
      </w:r>
      <w:r w:rsidRPr="00F1103D">
        <w:rPr>
          <w:rFonts w:ascii="Palatino Linotype" w:hAnsi="Palatino Linotype"/>
        </w:rPr>
        <w:t xml:space="preserve"> (Beirut, 1850).</w:t>
      </w:r>
    </w:p>
  </w:footnote>
  <w:footnote w:id="172">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Nestorian (Assyrian) Protestant women also wrote letters to demonstrate their education. See Murre-van den Berg, ‘Dear Mother of My Soul’: 41 note 33.</w:t>
      </w:r>
    </w:p>
  </w:footnote>
  <w:footnote w:id="173">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DeForest, ‘Letter to R. Anderson’ (Abeih, 15 August 1850): 141.</w:t>
      </w:r>
    </w:p>
  </w:footnote>
  <w:footnote w:id="174">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Interestingly, Rahil Al-Bustani’s written English was messier and more grammatical inaccurate than her daughter, Sarah, and colleague, Hannie Wortabet.</w:t>
      </w:r>
    </w:p>
  </w:footnote>
  <w:footnote w:id="175">
    <w:p w:rsidR="00D42FBF" w:rsidRPr="00F1103D" w:rsidRDefault="00D42FBF" w:rsidP="001761FF">
      <w:pPr>
        <w:pStyle w:val="FootnoteText"/>
        <w:ind w:left="90" w:hanging="90"/>
        <w:jc w:val="both"/>
        <w:rPr>
          <w:rFonts w:ascii="Palatino Linotype" w:hAnsi="Palatino Linotype" w:cs="Arial"/>
        </w:rPr>
      </w:pPr>
      <w:r w:rsidRPr="00F1103D">
        <w:rPr>
          <w:rStyle w:val="FootnoteReference"/>
          <w:rFonts w:ascii="Palatino Linotype" w:hAnsi="Palatino Linotype"/>
        </w:rPr>
        <w:footnoteRef/>
      </w:r>
      <w:r w:rsidRPr="00F1103D">
        <w:rPr>
          <w:rFonts w:ascii="Palatino Linotype" w:hAnsi="Palatino Linotype"/>
        </w:rPr>
        <w:t xml:space="preserve"> </w:t>
      </w:r>
      <w:r w:rsidRPr="00F1103D">
        <w:rPr>
          <w:rFonts w:ascii="Palatino Linotype" w:hAnsi="Palatino Linotype" w:cs="Arial"/>
        </w:rPr>
        <w:t xml:space="preserve">Al-Bustani, ‘Letter to Hetty Smith’ (n.s., 8 June n.d.). Compare with the ‘letter-writer’ described in </w:t>
      </w:r>
      <w:r w:rsidRPr="00F1103D">
        <w:rPr>
          <w:rFonts w:ascii="Palatino Linotype" w:hAnsi="Palatino Linotype" w:cs="Arial"/>
          <w:color w:val="000000"/>
        </w:rPr>
        <w:t>Thomson,</w:t>
      </w:r>
      <w:r w:rsidRPr="00F1103D">
        <w:rPr>
          <w:rFonts w:ascii="Palatino Linotype" w:hAnsi="Palatino Linotype" w:cs="Arial"/>
          <w:i/>
          <w:color w:val="000000"/>
        </w:rPr>
        <w:t xml:space="preserve"> LB</w:t>
      </w:r>
      <w:r w:rsidRPr="00F1103D">
        <w:rPr>
          <w:rFonts w:ascii="Palatino Linotype" w:hAnsi="Palatino Linotype" w:cs="Arial"/>
          <w:color w:val="000000"/>
        </w:rPr>
        <w:t xml:space="preserve">: </w:t>
      </w:r>
      <w:r w:rsidRPr="00F1103D">
        <w:rPr>
          <w:rFonts w:ascii="Palatino Linotype" w:hAnsi="Palatino Linotype" w:cs="Arial"/>
        </w:rPr>
        <w:t xml:space="preserve">32-33. </w:t>
      </w:r>
    </w:p>
  </w:footnote>
  <w:footnote w:id="176">
    <w:p w:rsidR="00D42FBF" w:rsidRPr="00F1103D" w:rsidRDefault="00D42FBF" w:rsidP="001761FF">
      <w:pPr>
        <w:pStyle w:val="FootnoteText"/>
        <w:ind w:left="90" w:hanging="90"/>
        <w:jc w:val="both"/>
        <w:rPr>
          <w:rFonts w:ascii="Palatino Linotype" w:hAnsi="Palatino Linotype" w:cs="Arial"/>
        </w:rPr>
      </w:pPr>
      <w:r w:rsidRPr="00F1103D">
        <w:rPr>
          <w:rStyle w:val="FootnoteReference"/>
          <w:rFonts w:ascii="Palatino Linotype" w:hAnsi="Palatino Linotype"/>
        </w:rPr>
        <w:footnoteRef/>
      </w:r>
      <w:r w:rsidRPr="00F1103D">
        <w:rPr>
          <w:rFonts w:ascii="Palatino Linotype" w:hAnsi="Palatino Linotype"/>
        </w:rPr>
        <w:t xml:space="preserve"> </w:t>
      </w:r>
      <w:r w:rsidRPr="00F1103D">
        <w:rPr>
          <w:rFonts w:ascii="Palatino Linotype" w:hAnsi="Palatino Linotype" w:cs="Arial"/>
        </w:rPr>
        <w:t>Wortabet, ‘Letter to Eli Smith’ (Hasbaya, 7 October 1852).</w:t>
      </w:r>
    </w:p>
  </w:footnote>
  <w:footnote w:id="177">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In addition to the girl’s common school at </w:t>
      </w:r>
      <w:r w:rsidRPr="00F1103D">
        <w:rPr>
          <w:rFonts w:ascii="Palatino Linotype" w:hAnsi="Palatino Linotype"/>
          <w:i/>
        </w:rPr>
        <w:t>Burj Bird,</w:t>
      </w:r>
      <w:r w:rsidRPr="00F1103D">
        <w:rPr>
          <w:rFonts w:ascii="Palatino Linotype" w:hAnsi="Palatino Linotype"/>
        </w:rPr>
        <w:t xml:space="preserve"> the ABCFM funded schools in the Moussaitbe and Achrafiya suburbs of Beirut during the late 1840s. Jessup, </w:t>
      </w:r>
      <w:r w:rsidRPr="00F1103D">
        <w:rPr>
          <w:rFonts w:ascii="Palatino Linotype" w:hAnsi="Palatino Linotype"/>
          <w:i/>
        </w:rPr>
        <w:t>WA</w:t>
      </w:r>
      <w:r w:rsidRPr="00F1103D">
        <w:rPr>
          <w:rFonts w:ascii="Palatino Linotype" w:hAnsi="Palatino Linotype"/>
        </w:rPr>
        <w:t>: 73.</w:t>
      </w:r>
    </w:p>
  </w:footnote>
  <w:footnote w:id="178">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w:t>
      </w:r>
      <w:r w:rsidRPr="00F1103D">
        <w:rPr>
          <w:rFonts w:ascii="Palatino Linotype" w:hAnsi="Palatino Linotype"/>
          <w:i/>
        </w:rPr>
        <w:t>MH</w:t>
      </w:r>
      <w:r w:rsidRPr="00F1103D">
        <w:rPr>
          <w:rFonts w:ascii="Palatino Linotype" w:hAnsi="Palatino Linotype"/>
        </w:rPr>
        <w:t xml:space="preserve"> (1847): 183; Rufus Anderson quoted in Paul William Harris, </w:t>
      </w:r>
      <w:r w:rsidRPr="00F1103D">
        <w:rPr>
          <w:rFonts w:ascii="Palatino Linotype" w:hAnsi="Palatino Linotype"/>
          <w:i/>
        </w:rPr>
        <w:t>Nothing But Christ: Rufus Anderson and the Ideology of Protestant Foreign Missions</w:t>
      </w:r>
      <w:r w:rsidRPr="00F1103D">
        <w:rPr>
          <w:rFonts w:ascii="Palatino Linotype" w:hAnsi="Palatino Linotype"/>
        </w:rPr>
        <w:t xml:space="preserve"> (New York and Oxford: Oxford University Press, 1999): 75. </w:t>
      </w:r>
    </w:p>
  </w:footnote>
  <w:footnote w:id="179">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w:t>
      </w:r>
      <w:r w:rsidRPr="00F1103D">
        <w:rPr>
          <w:rFonts w:ascii="Palatino Linotype" w:hAnsi="Palatino Linotype" w:cs="Arial"/>
        </w:rPr>
        <w:t xml:space="preserve">Henry DeForest quoted in Jessup, </w:t>
      </w:r>
      <w:r w:rsidRPr="00F1103D">
        <w:rPr>
          <w:rFonts w:ascii="Palatino Linotype" w:hAnsi="Palatino Linotype" w:cs="Arial"/>
          <w:i/>
        </w:rPr>
        <w:t>WA</w:t>
      </w:r>
      <w:r w:rsidRPr="00F1103D">
        <w:rPr>
          <w:rFonts w:ascii="Palatino Linotype" w:hAnsi="Palatino Linotype" w:cs="Arial"/>
        </w:rPr>
        <w:t xml:space="preserve">: 75. </w:t>
      </w:r>
    </w:p>
  </w:footnote>
  <w:footnote w:id="180">
    <w:p w:rsidR="00D42FBF" w:rsidRPr="00F1103D" w:rsidRDefault="00D42FBF" w:rsidP="001761FF">
      <w:pPr>
        <w:pStyle w:val="FootnoteText"/>
        <w:ind w:left="90" w:hanging="90"/>
        <w:jc w:val="both"/>
        <w:rPr>
          <w:rFonts w:ascii="Palatino Linotype" w:hAnsi="Palatino Linotype" w:cs="Arial"/>
        </w:rPr>
      </w:pPr>
      <w:r w:rsidRPr="00F1103D">
        <w:rPr>
          <w:rStyle w:val="FootnoteReference"/>
          <w:rFonts w:ascii="Palatino Linotype" w:hAnsi="Palatino Linotype"/>
        </w:rPr>
        <w:footnoteRef/>
      </w:r>
      <w:r w:rsidRPr="00F1103D">
        <w:rPr>
          <w:rFonts w:ascii="Palatino Linotype" w:hAnsi="Palatino Linotype"/>
        </w:rPr>
        <w:t xml:space="preserve"> </w:t>
      </w:r>
      <w:r w:rsidRPr="00F1103D">
        <w:rPr>
          <w:rFonts w:ascii="Palatino Linotype" w:hAnsi="Palatino Linotype" w:cs="Arial"/>
        </w:rPr>
        <w:t>Henry Harris Jessup, ‘Journal from Tuesday May 25, 1858 until Tuesday June 8, 1858’ (Tripoli, May/June 1858): YDS: HHJ Box 1: Folder 5.</w:t>
      </w:r>
    </w:p>
  </w:footnote>
  <w:footnote w:id="181">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Whiting, ‘Report: Native Girls Under Instruction in the Mission Families’. Meriweather argues that, for Aleppo during the late eighteenth to mid-nineteenth centuries, women were first married during their young teenage years. More research is needed to determine the age of first marriage amongst women living in contemporary Mount Lebanon and in Beirut, although from Whiting’s report it appears to be, for women to be during the mid to late teenage years. Meriweather, </w:t>
      </w:r>
      <w:r w:rsidRPr="00F1103D">
        <w:rPr>
          <w:rFonts w:ascii="Palatino Linotype" w:hAnsi="Palatino Linotype"/>
          <w:i/>
        </w:rPr>
        <w:t>The Kin who Count</w:t>
      </w:r>
      <w:r w:rsidRPr="00F1103D">
        <w:rPr>
          <w:rFonts w:ascii="Palatino Linotype" w:hAnsi="Palatino Linotype"/>
        </w:rPr>
        <w:t>: 115.</w:t>
      </w:r>
    </w:p>
  </w:footnote>
  <w:footnote w:id="182">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Jessup, </w:t>
      </w:r>
      <w:r w:rsidRPr="00F1103D">
        <w:rPr>
          <w:rFonts w:ascii="Palatino Linotype" w:hAnsi="Palatino Linotype"/>
          <w:i/>
        </w:rPr>
        <w:t>WA</w:t>
      </w:r>
      <w:r w:rsidRPr="00F1103D">
        <w:rPr>
          <w:rFonts w:ascii="Palatino Linotype" w:hAnsi="Palatino Linotype"/>
        </w:rPr>
        <w:t>: 85-87. Hanne Wortabet and Rahil Ata also taught for a number of years before their marriages.</w:t>
      </w:r>
    </w:p>
  </w:footnote>
  <w:footnote w:id="183">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Buchanan, ‘The Story of the Lebanon Schools and the Free Church of Scotland’: 40-41; Jessup, </w:t>
      </w:r>
      <w:r w:rsidRPr="00F1103D">
        <w:rPr>
          <w:rFonts w:ascii="Palatino Linotype" w:hAnsi="Palatino Linotype"/>
          <w:i/>
        </w:rPr>
        <w:t>WA</w:t>
      </w:r>
      <w:r w:rsidRPr="00F1103D">
        <w:rPr>
          <w:rFonts w:ascii="Palatino Linotype" w:hAnsi="Palatino Linotype"/>
        </w:rPr>
        <w:t>: 204-14;</w:t>
      </w:r>
      <w:r w:rsidRPr="00F1103D">
        <w:rPr>
          <w:rFonts w:ascii="Palatino Linotype" w:hAnsi="Palatino Linotype"/>
          <w:i/>
        </w:rPr>
        <w:t xml:space="preserve"> </w:t>
      </w:r>
      <w:r w:rsidRPr="00F1103D">
        <w:rPr>
          <w:rFonts w:ascii="Palatino Linotype" w:hAnsi="Palatino Linotype"/>
        </w:rPr>
        <w:t xml:space="preserve">Whiting and DeForest, ‘Letter to R. Anderson’ (Abeih, 5 August 1850): 135; Booth, ‘She Herself was the Ultimate Rule’: 427-428; Zayek, </w:t>
      </w:r>
      <w:r w:rsidRPr="00F1103D">
        <w:rPr>
          <w:rFonts w:ascii="Palatino Linotype" w:hAnsi="Palatino Linotype"/>
          <w:i/>
        </w:rPr>
        <w:t>Rafka</w:t>
      </w:r>
      <w:r w:rsidRPr="00F1103D">
        <w:rPr>
          <w:rFonts w:ascii="Palatino Linotype" w:hAnsi="Palatino Linotype"/>
        </w:rPr>
        <w:t>: 17.</w:t>
      </w:r>
    </w:p>
  </w:footnote>
  <w:footnote w:id="184">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Melita Carabet in Jessup, </w:t>
      </w:r>
      <w:r w:rsidRPr="00F1103D">
        <w:rPr>
          <w:rFonts w:ascii="Palatino Linotype" w:hAnsi="Palatino Linotype"/>
          <w:i/>
        </w:rPr>
        <w:t>WA</w:t>
      </w:r>
      <w:r w:rsidRPr="00F1103D">
        <w:rPr>
          <w:rFonts w:ascii="Palatino Linotype" w:hAnsi="Palatino Linotype"/>
        </w:rPr>
        <w:t xml:space="preserve">: 69-70; Jessup, ‘American Mission Work in Syria’: 187; Jessup, </w:t>
      </w:r>
      <w:r w:rsidRPr="00F1103D">
        <w:rPr>
          <w:rFonts w:ascii="Palatino Linotype" w:hAnsi="Palatino Linotype"/>
          <w:i/>
        </w:rPr>
        <w:t>WA</w:t>
      </w:r>
      <w:r w:rsidRPr="00F1103D">
        <w:rPr>
          <w:rFonts w:ascii="Palatino Linotype" w:hAnsi="Palatino Linotype"/>
        </w:rPr>
        <w:t>: 211.</w:t>
      </w:r>
    </w:p>
  </w:footnote>
  <w:footnote w:id="185">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Jessup, </w:t>
      </w:r>
      <w:r w:rsidRPr="00F1103D">
        <w:rPr>
          <w:rFonts w:ascii="Palatino Linotype" w:hAnsi="Palatino Linotype"/>
          <w:i/>
        </w:rPr>
        <w:t>WA</w:t>
      </w:r>
      <w:r w:rsidRPr="00F1103D">
        <w:rPr>
          <w:rFonts w:ascii="Palatino Linotype" w:hAnsi="Palatino Linotype"/>
        </w:rPr>
        <w:t>: 85-87.</w:t>
      </w:r>
    </w:p>
  </w:footnote>
  <w:footnote w:id="186">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The aalternative definitions of Protestantism and gender presented by the Prussian deaconesses in post-1860 Beirut is being analysed by Julia Hausser in her doctorial research at the University of Göttingen.</w:t>
      </w:r>
    </w:p>
  </w:footnote>
  <w:footnote w:id="187">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This chapter focuses upon the first few characteristics of housekeeping, with the nurturance of children examined in chapter six.</w:t>
      </w:r>
    </w:p>
  </w:footnote>
  <w:footnote w:id="188">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Although I draw upon Bourdieu’s theoretical approaches, my analysis of housekeeping and the Protestants’ homes differs from his analysis of the Kabyle house presented in Pierre Bourdieu, </w:t>
      </w:r>
      <w:r w:rsidRPr="00F1103D">
        <w:rPr>
          <w:rFonts w:ascii="Palatino Linotype" w:hAnsi="Palatino Linotype"/>
          <w:i/>
        </w:rPr>
        <w:t>Algeria 1960: The Disenchantment of the World; The Sense of Honour; The Kabyle House or the World Reversed</w:t>
      </w:r>
      <w:r w:rsidRPr="00F1103D">
        <w:rPr>
          <w:rFonts w:ascii="Palatino Linotype" w:hAnsi="Palatino Linotype"/>
        </w:rPr>
        <w:t xml:space="preserve"> (trans. Richard Nice) (Cambridge: Cambridge University Press, 1979): 133-153.</w:t>
      </w:r>
    </w:p>
  </w:footnote>
  <w:footnote w:id="189">
    <w:p w:rsidR="00D42FBF" w:rsidRPr="00F1103D" w:rsidRDefault="00D42FBF" w:rsidP="001761FF">
      <w:pPr>
        <w:pStyle w:val="FootnoteText"/>
        <w:ind w:left="90" w:hanging="90"/>
        <w:jc w:val="both"/>
        <w:rPr>
          <w:rFonts w:ascii="Palatino Linotype" w:hAnsi="Palatino Linotype"/>
          <w:b/>
        </w:rPr>
      </w:pPr>
      <w:r w:rsidRPr="00F1103D">
        <w:rPr>
          <w:rStyle w:val="FootnoteReference"/>
          <w:rFonts w:ascii="Palatino Linotype" w:hAnsi="Palatino Linotype"/>
        </w:rPr>
        <w:footnoteRef/>
      </w:r>
      <w:r w:rsidRPr="00F1103D">
        <w:rPr>
          <w:rFonts w:ascii="Palatino Linotype" w:hAnsi="Palatino Linotype"/>
        </w:rPr>
        <w:t xml:space="preserve"> Smith, ‘Letter to Rebecca Williams’ (Beirut, 5 August 1835); Smith, ‘Letter’ (Beirut, 18 January 1847); Henrietta Smith, ‘Letter to Sister’ (Beirut, 16 April 1847): YDS: ES Box 1: Folder 17.</w:t>
      </w:r>
    </w:p>
  </w:footnote>
  <w:footnote w:id="190">
    <w:p w:rsidR="00D42FBF" w:rsidRPr="00F1103D" w:rsidRDefault="00D42FBF" w:rsidP="001761FF">
      <w:pPr>
        <w:pStyle w:val="FootnoteText"/>
        <w:ind w:left="90" w:hanging="90"/>
        <w:jc w:val="both"/>
        <w:rPr>
          <w:rFonts w:ascii="Palatino Linotype" w:hAnsi="Palatino Linotype" w:cs="Arial"/>
        </w:rPr>
      </w:pPr>
      <w:r w:rsidRPr="00F1103D">
        <w:rPr>
          <w:rStyle w:val="FootnoteReference"/>
          <w:rFonts w:ascii="Palatino Linotype" w:hAnsi="Palatino Linotype"/>
        </w:rPr>
        <w:footnoteRef/>
      </w:r>
      <w:r w:rsidRPr="00F1103D">
        <w:rPr>
          <w:rFonts w:ascii="Palatino Linotype" w:hAnsi="Palatino Linotype" w:cs="Arial"/>
        </w:rPr>
        <w:t xml:space="preserve"> Smith, ‘Letter to Brother’ (Bhamdoun, 14 August 1834).</w:t>
      </w:r>
    </w:p>
  </w:footnote>
  <w:footnote w:id="191">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Hooker, </w:t>
      </w:r>
      <w:r w:rsidRPr="00F1103D">
        <w:rPr>
          <w:rFonts w:ascii="Palatino Linotype" w:hAnsi="Palatino Linotype"/>
          <w:i/>
        </w:rPr>
        <w:t>MSLS</w:t>
      </w:r>
      <w:r w:rsidRPr="00F1103D">
        <w:rPr>
          <w:rFonts w:ascii="Palatino Linotype" w:hAnsi="Palatino Linotype"/>
        </w:rPr>
        <w:t>: 280; Smith, ‘Letter to Sister’ (Beirut, 1 May 1854).</w:t>
      </w:r>
    </w:p>
  </w:footnote>
  <w:footnote w:id="192">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Bliss, </w:t>
      </w:r>
      <w:r w:rsidRPr="00F1103D">
        <w:rPr>
          <w:rFonts w:ascii="Palatino Linotype" w:hAnsi="Palatino Linotype"/>
          <w:i/>
        </w:rPr>
        <w:t>RDS</w:t>
      </w:r>
      <w:r w:rsidRPr="00F1103D">
        <w:rPr>
          <w:rFonts w:ascii="Palatino Linotype" w:hAnsi="Palatino Linotype"/>
        </w:rPr>
        <w:t>: 127; Smith, ‘Letter’ (Beirut, 18 January 1847).</w:t>
      </w:r>
    </w:p>
  </w:footnote>
  <w:footnote w:id="193">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‘Mosaic’ is the term I use to describe this family arrangement, which will </w:t>
      </w:r>
      <w:r>
        <w:rPr>
          <w:rFonts w:ascii="Palatino Linotype" w:hAnsi="Palatino Linotype"/>
        </w:rPr>
        <w:t>be fully discussed</w:t>
      </w:r>
      <w:r w:rsidRPr="00F1103D">
        <w:rPr>
          <w:rFonts w:ascii="Palatino Linotype" w:hAnsi="Palatino Linotype"/>
        </w:rPr>
        <w:t xml:space="preserve">, in chapter </w:t>
      </w:r>
      <w:r>
        <w:rPr>
          <w:rFonts w:ascii="Palatino Linotype" w:hAnsi="Palatino Linotype"/>
        </w:rPr>
        <w:t>five</w:t>
      </w:r>
      <w:r w:rsidRPr="00F1103D">
        <w:rPr>
          <w:rFonts w:ascii="Palatino Linotype" w:hAnsi="Palatino Linotype"/>
        </w:rPr>
        <w:t>.</w:t>
      </w:r>
    </w:p>
  </w:footnote>
  <w:footnote w:id="194">
    <w:p w:rsidR="00D42FBF" w:rsidRPr="00F1103D" w:rsidRDefault="00D42FBF" w:rsidP="001761FF">
      <w:pPr>
        <w:pStyle w:val="FootnoteText"/>
        <w:tabs>
          <w:tab w:val="left" w:pos="180"/>
        </w:tabs>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w:t>
      </w:r>
      <w:r w:rsidRPr="00F1103D">
        <w:rPr>
          <w:rFonts w:ascii="Palatino Linotype" w:hAnsi="Palatino Linotype" w:cs="Arial"/>
        </w:rPr>
        <w:t xml:space="preserve">Wortabet, SS: </w:t>
      </w:r>
      <w:r w:rsidRPr="00F1103D">
        <w:rPr>
          <w:rFonts w:ascii="Palatino Linotype" w:hAnsi="Palatino Linotype" w:cs="Arial"/>
          <w:i/>
        </w:rPr>
        <w:t>I</w:t>
      </w:r>
      <w:r w:rsidRPr="00F1103D">
        <w:rPr>
          <w:rFonts w:ascii="Palatino Linotype" w:hAnsi="Palatino Linotype" w:cs="Arial"/>
        </w:rPr>
        <w:t xml:space="preserve">: 41, 220; </w:t>
      </w:r>
      <w:r w:rsidRPr="00F1103D">
        <w:rPr>
          <w:rFonts w:ascii="Palatino Linotype" w:hAnsi="Palatino Linotype" w:cs="Arial"/>
          <w:i/>
        </w:rPr>
        <w:t>II</w:t>
      </w:r>
      <w:r w:rsidRPr="00F1103D">
        <w:rPr>
          <w:rFonts w:ascii="Palatino Linotype" w:hAnsi="Palatino Linotype" w:cs="Arial"/>
        </w:rPr>
        <w:t xml:space="preserve">: 5-7. In 1873, Lulu Aramon was praised for running ‘a cheerful, tidy, well ordered home’ which was a ‘a model Christian family, the home of piety and affection’, but does not mention how Lulu’s house was arranged. Jessup, </w:t>
      </w:r>
      <w:r w:rsidRPr="00F1103D">
        <w:rPr>
          <w:rFonts w:ascii="Palatino Linotype" w:hAnsi="Palatino Linotype" w:cs="Arial"/>
          <w:i/>
        </w:rPr>
        <w:t>WA</w:t>
      </w:r>
      <w:r w:rsidRPr="00F1103D">
        <w:rPr>
          <w:rFonts w:ascii="Palatino Linotype" w:hAnsi="Palatino Linotype" w:cs="Arial"/>
        </w:rPr>
        <w:t>: 88-89.</w:t>
      </w:r>
    </w:p>
  </w:footnote>
  <w:footnote w:id="195">
    <w:p w:rsidR="00D42FBF" w:rsidRPr="00F1103D" w:rsidRDefault="00D42FBF" w:rsidP="001761FF">
      <w:pPr>
        <w:pStyle w:val="FootnoteText"/>
        <w:ind w:left="90" w:hanging="90"/>
        <w:jc w:val="both"/>
        <w:rPr>
          <w:rFonts w:ascii="Palatino Linotype" w:hAnsi="Palatino Linotype" w:cs="Arial"/>
        </w:rPr>
      </w:pPr>
      <w:r w:rsidRPr="00F1103D">
        <w:rPr>
          <w:rStyle w:val="FootnoteReference"/>
          <w:rFonts w:ascii="Palatino Linotype" w:hAnsi="Palatino Linotype"/>
        </w:rPr>
        <w:footnoteRef/>
      </w:r>
      <w:r w:rsidRPr="00F1103D">
        <w:rPr>
          <w:rFonts w:ascii="Palatino Linotype" w:hAnsi="Palatino Linotype"/>
        </w:rPr>
        <w:t xml:space="preserve"> </w:t>
      </w:r>
      <w:r w:rsidRPr="00F1103D">
        <w:rPr>
          <w:rFonts w:ascii="Palatino Linotype" w:hAnsi="Palatino Linotype" w:cs="Arial"/>
        </w:rPr>
        <w:t>Eli Smith, ‘Journal as Resident on Mount Lebanon’ (n.s., 27 December 1827): YDS ES Box 6: Folder 35. Murre-van den Berg argues that Protestant women in Urmiah did not write about housekeeping in their letters. Murre-van den Berg, ‘“Dear Mother of My Soul”: 43-44.</w:t>
      </w:r>
    </w:p>
  </w:footnote>
  <w:footnote w:id="196">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Smith, ‘Letter’ (Beirut, 18 January 1847).</w:t>
      </w:r>
    </w:p>
  </w:footnote>
  <w:footnote w:id="197">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Martha Dodge, ‘Letter to Mr. Anderson’ (Beirut, 17 June 1838): ABCFM microfilm Unit 5: Near East: Reel 539: 600-601B.</w:t>
      </w:r>
    </w:p>
  </w:footnote>
  <w:footnote w:id="198">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w:t>
      </w:r>
      <w:r w:rsidRPr="00F1103D">
        <w:rPr>
          <w:rFonts w:ascii="Palatino Linotype" w:hAnsi="Palatino Linotype" w:cs="Arial"/>
        </w:rPr>
        <w:t xml:space="preserve">Dodge, ‘Letter to Mr. Anderson’ (Beirut, 17 June 1838); Rebecca Hebard in Williams, ‘Rebecca Williams Hebard’:13; ABCFM, </w:t>
      </w:r>
      <w:r w:rsidRPr="00F1103D">
        <w:rPr>
          <w:rFonts w:ascii="Palatino Linotype" w:hAnsi="Palatino Linotype" w:cs="Arial"/>
          <w:i/>
        </w:rPr>
        <w:t>Annual Report</w:t>
      </w:r>
      <w:r w:rsidRPr="00F1103D">
        <w:rPr>
          <w:rFonts w:ascii="Palatino Linotype" w:hAnsi="Palatino Linotype" w:cs="Arial"/>
        </w:rPr>
        <w:t xml:space="preserve"> (Beirut, 1836); ABCFM, </w:t>
      </w:r>
      <w:r w:rsidRPr="00F1103D">
        <w:rPr>
          <w:rFonts w:ascii="Palatino Linotype" w:hAnsi="Palatino Linotype" w:cs="Arial"/>
          <w:i/>
        </w:rPr>
        <w:t>Annual Report</w:t>
      </w:r>
      <w:r w:rsidRPr="00F1103D">
        <w:rPr>
          <w:rFonts w:ascii="Palatino Linotype" w:hAnsi="Palatino Linotype" w:cs="Arial"/>
        </w:rPr>
        <w:t xml:space="preserve"> (Beirut, 1837).</w:t>
      </w:r>
    </w:p>
  </w:footnote>
  <w:footnote w:id="199">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w:t>
      </w:r>
      <w:r w:rsidRPr="00F1103D">
        <w:rPr>
          <w:rFonts w:ascii="Palatino Linotype" w:hAnsi="Palatino Linotype"/>
          <w:i/>
        </w:rPr>
        <w:t>MH</w:t>
      </w:r>
      <w:r w:rsidRPr="00F1103D">
        <w:rPr>
          <w:rFonts w:ascii="Palatino Linotype" w:hAnsi="Palatino Linotype"/>
        </w:rPr>
        <w:t xml:space="preserve"> (1842): 365.</w:t>
      </w:r>
    </w:p>
  </w:footnote>
  <w:footnote w:id="200">
    <w:p w:rsidR="00D42FBF" w:rsidRPr="00F1103D" w:rsidRDefault="00D42FBF" w:rsidP="001761FF">
      <w:pPr>
        <w:ind w:left="90" w:hanging="90"/>
        <w:jc w:val="both"/>
        <w:rPr>
          <w:rFonts w:ascii="Palatino Linotype" w:hAnsi="Palatino Linotype"/>
          <w:sz w:val="20"/>
          <w:szCs w:val="20"/>
        </w:rPr>
      </w:pPr>
      <w:r w:rsidRPr="00F1103D">
        <w:rPr>
          <w:rStyle w:val="FootnoteReference"/>
          <w:rFonts w:ascii="Palatino Linotype" w:hAnsi="Palatino Linotype"/>
          <w:sz w:val="20"/>
          <w:szCs w:val="20"/>
        </w:rPr>
        <w:footnoteRef/>
      </w:r>
      <w:r w:rsidRPr="00F1103D">
        <w:rPr>
          <w:rFonts w:ascii="Palatino Linotype" w:hAnsi="Palatino Linotype"/>
          <w:sz w:val="20"/>
          <w:szCs w:val="20"/>
        </w:rPr>
        <w:t xml:space="preserve"> Smith, ‘Letter to Sister’ (Beirut, 1 January 1849).</w:t>
      </w:r>
    </w:p>
  </w:footnote>
  <w:footnote w:id="201">
    <w:p w:rsidR="00D42FBF" w:rsidRPr="00F1103D" w:rsidRDefault="00D42FBF" w:rsidP="001761FF">
      <w:pPr>
        <w:pStyle w:val="FootnoteText"/>
        <w:ind w:left="90" w:hanging="90"/>
        <w:jc w:val="both"/>
        <w:rPr>
          <w:rFonts w:ascii="Palatino Linotype" w:hAnsi="Palatino Linotype" w:cs="Arial"/>
        </w:rPr>
      </w:pPr>
      <w:r w:rsidRPr="00F1103D">
        <w:rPr>
          <w:rStyle w:val="FootnoteReference"/>
          <w:rFonts w:ascii="Palatino Linotype" w:hAnsi="Palatino Linotype"/>
        </w:rPr>
        <w:footnoteRef/>
      </w:r>
      <w:r w:rsidRPr="00F1103D">
        <w:rPr>
          <w:rFonts w:ascii="Palatino Linotype" w:hAnsi="Palatino Linotype"/>
        </w:rPr>
        <w:t xml:space="preserve"> </w:t>
      </w:r>
      <w:r w:rsidRPr="00F1103D">
        <w:rPr>
          <w:rFonts w:ascii="Palatino Linotype" w:hAnsi="Palatino Linotype" w:cs="Arial"/>
        </w:rPr>
        <w:t>Original emphasis removed. Smith, ‘Letter to Sister’ (Beirut, 1 January 1849).</w:t>
      </w:r>
    </w:p>
  </w:footnote>
  <w:footnote w:id="202">
    <w:p w:rsidR="00D42FBF" w:rsidRPr="00F1103D" w:rsidRDefault="00D42FBF" w:rsidP="001761FF">
      <w:pPr>
        <w:pStyle w:val="FootnoteText"/>
        <w:ind w:left="90" w:hanging="90"/>
        <w:jc w:val="both"/>
        <w:rPr>
          <w:rFonts w:ascii="Palatino Linotype" w:hAnsi="Palatino Linotype" w:cs="Arial"/>
        </w:rPr>
      </w:pPr>
      <w:r w:rsidRPr="00F1103D">
        <w:rPr>
          <w:rStyle w:val="FootnoteReference"/>
          <w:rFonts w:ascii="Palatino Linotype" w:hAnsi="Palatino Linotype"/>
        </w:rPr>
        <w:footnoteRef/>
      </w:r>
      <w:r w:rsidRPr="00F1103D">
        <w:rPr>
          <w:rFonts w:ascii="Palatino Linotype" w:hAnsi="Palatino Linotype"/>
        </w:rPr>
        <w:t xml:space="preserve"> </w:t>
      </w:r>
      <w:r w:rsidRPr="00F1103D">
        <w:rPr>
          <w:rFonts w:ascii="Palatino Linotype" w:hAnsi="Palatino Linotype" w:cs="Arial"/>
        </w:rPr>
        <w:t>Henry Harris Jessup, ‘Journal: Personal Journey, From Sept 21, 1855 to Arrival in Syria on Feb 7, 1856’ (n.s., 1855-6): YDS: HHJ Box 6: Folder 19.</w:t>
      </w:r>
    </w:p>
  </w:footnote>
  <w:footnote w:id="203">
    <w:p w:rsidR="00D42FBF" w:rsidRPr="00F1103D" w:rsidRDefault="00D42FBF" w:rsidP="001761FF">
      <w:pPr>
        <w:ind w:left="90" w:hanging="90"/>
        <w:jc w:val="both"/>
        <w:rPr>
          <w:rFonts w:ascii="Palatino Linotype" w:hAnsi="Palatino Linotype"/>
          <w:sz w:val="20"/>
          <w:szCs w:val="20"/>
        </w:rPr>
      </w:pPr>
      <w:r w:rsidRPr="00F1103D">
        <w:rPr>
          <w:rStyle w:val="FootnoteReference"/>
          <w:rFonts w:ascii="Palatino Linotype" w:hAnsi="Palatino Linotype"/>
          <w:sz w:val="20"/>
          <w:szCs w:val="20"/>
        </w:rPr>
        <w:footnoteRef/>
      </w:r>
      <w:r w:rsidRPr="00F1103D">
        <w:rPr>
          <w:rFonts w:ascii="Palatino Linotype" w:hAnsi="Palatino Linotype"/>
          <w:sz w:val="20"/>
          <w:szCs w:val="20"/>
        </w:rPr>
        <w:t xml:space="preserve"> Smith, ‘Letter to Sister’ (Bhamdoun, 9 September 1847).</w:t>
      </w:r>
    </w:p>
  </w:footnote>
  <w:footnote w:id="204">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w:t>
      </w:r>
      <w:r w:rsidRPr="00F1103D">
        <w:rPr>
          <w:rFonts w:ascii="Palatino Linotype" w:hAnsi="Palatino Linotype" w:cs="Arial"/>
        </w:rPr>
        <w:t xml:space="preserve">DeForest, </w:t>
      </w:r>
      <w:r w:rsidRPr="00F1103D">
        <w:rPr>
          <w:rFonts w:ascii="Palatino Linotype" w:hAnsi="Palatino Linotype"/>
        </w:rPr>
        <w:t xml:space="preserve">‘Letter to R. Anderson’ (Abeih, </w:t>
      </w:r>
      <w:r w:rsidRPr="00F1103D">
        <w:rPr>
          <w:rFonts w:ascii="Palatino Linotype" w:hAnsi="Palatino Linotype" w:cs="Arial"/>
        </w:rPr>
        <w:t>15 August 1850): 138.</w:t>
      </w:r>
    </w:p>
  </w:footnote>
  <w:footnote w:id="205">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Beecher, </w:t>
      </w:r>
      <w:r w:rsidRPr="00F1103D">
        <w:rPr>
          <w:rFonts w:ascii="Palatino Linotype" w:hAnsi="Palatino Linotype"/>
          <w:i/>
        </w:rPr>
        <w:t>Treatise on Domestic Economy</w:t>
      </w:r>
      <w:r w:rsidRPr="00F1103D">
        <w:rPr>
          <w:rFonts w:ascii="Palatino Linotype" w:hAnsi="Palatino Linotype"/>
        </w:rPr>
        <w:t>: 5-6.</w:t>
      </w:r>
    </w:p>
  </w:footnote>
  <w:footnote w:id="206">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DeForest, ‘Letter to R. Anderson’ (Abeih, 15 August 1850): 142. </w:t>
      </w:r>
    </w:p>
  </w:footnote>
  <w:footnote w:id="207">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ABCFM, </w:t>
      </w:r>
      <w:r w:rsidRPr="00F1103D">
        <w:rPr>
          <w:rFonts w:ascii="Palatino Linotype" w:hAnsi="Palatino Linotype"/>
          <w:i/>
        </w:rPr>
        <w:t>Station Report</w:t>
      </w:r>
      <w:r w:rsidRPr="00F1103D">
        <w:rPr>
          <w:rFonts w:ascii="Palatino Linotype" w:hAnsi="Palatino Linotype"/>
        </w:rPr>
        <w:t xml:space="preserve"> (Beirut, 1835); </w:t>
      </w:r>
      <w:r w:rsidRPr="00F1103D">
        <w:rPr>
          <w:rFonts w:ascii="Palatino Linotype" w:hAnsi="Palatino Linotype"/>
          <w:i/>
        </w:rPr>
        <w:t>MH</w:t>
      </w:r>
      <w:r w:rsidRPr="00F1103D">
        <w:rPr>
          <w:rFonts w:ascii="Palatino Linotype" w:hAnsi="Palatino Linotype"/>
        </w:rPr>
        <w:t xml:space="preserve"> (1836): 348; </w:t>
      </w:r>
      <w:r w:rsidRPr="00F1103D">
        <w:rPr>
          <w:rFonts w:ascii="Palatino Linotype" w:hAnsi="Palatino Linotype"/>
          <w:i/>
        </w:rPr>
        <w:t>MH</w:t>
      </w:r>
      <w:r w:rsidRPr="00F1103D">
        <w:rPr>
          <w:rFonts w:ascii="Palatino Linotype" w:hAnsi="Palatino Linotype"/>
        </w:rPr>
        <w:t xml:space="preserve"> (1850): 361-363.</w:t>
      </w:r>
    </w:p>
  </w:footnote>
  <w:footnote w:id="208">
    <w:p w:rsidR="00D42FBF" w:rsidRPr="00F1103D" w:rsidRDefault="00D42FBF" w:rsidP="001761FF">
      <w:pPr>
        <w:pStyle w:val="FootnoteText"/>
        <w:jc w:val="both"/>
      </w:pPr>
      <w:r w:rsidRPr="00F1103D">
        <w:rPr>
          <w:rStyle w:val="FootnoteReference"/>
        </w:rPr>
        <w:footnoteRef/>
      </w:r>
      <w:r w:rsidRPr="00F1103D">
        <w:t xml:space="preserve"> Hooker, </w:t>
      </w:r>
      <w:r w:rsidRPr="00F1103D">
        <w:rPr>
          <w:i/>
        </w:rPr>
        <w:t>MSLS</w:t>
      </w:r>
      <w:r w:rsidRPr="00F1103D">
        <w:t>: 266.</w:t>
      </w:r>
    </w:p>
  </w:footnote>
  <w:footnote w:id="209">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w:t>
      </w:r>
      <w:r w:rsidRPr="00F1103D">
        <w:rPr>
          <w:rFonts w:ascii="Palatino Linotype" w:hAnsi="Palatino Linotype" w:cs="Arial"/>
        </w:rPr>
        <w:t xml:space="preserve">Hooker, </w:t>
      </w:r>
      <w:r w:rsidRPr="00F1103D">
        <w:rPr>
          <w:rFonts w:ascii="Palatino Linotype" w:hAnsi="Palatino Linotype" w:cs="Arial"/>
          <w:i/>
        </w:rPr>
        <w:t>MSLS</w:t>
      </w:r>
      <w:r w:rsidRPr="00F1103D">
        <w:rPr>
          <w:rFonts w:ascii="Palatino Linotype" w:hAnsi="Palatino Linotype" w:cs="Arial"/>
        </w:rPr>
        <w:t>: 266-268.</w:t>
      </w:r>
    </w:p>
  </w:footnote>
  <w:footnote w:id="210">
    <w:p w:rsidR="00D42FBF" w:rsidRPr="00F1103D" w:rsidRDefault="00D42FBF" w:rsidP="001761FF">
      <w:pPr>
        <w:pStyle w:val="FootnoteText"/>
        <w:tabs>
          <w:tab w:val="left" w:pos="180"/>
        </w:tabs>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Smith, ‘Letter to Brothers and Sisters’ (n.s., Early February 1850).</w:t>
      </w:r>
    </w:p>
  </w:footnote>
  <w:footnote w:id="211">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Smith, ‘Letter to Sister’ (Beirut, 20 February 1847).</w:t>
      </w:r>
    </w:p>
  </w:footnote>
  <w:footnote w:id="212">
    <w:p w:rsidR="00D42FBF" w:rsidRPr="00F1103D" w:rsidRDefault="00D42FBF" w:rsidP="001761FF">
      <w:pPr>
        <w:ind w:left="90" w:hanging="90"/>
        <w:jc w:val="both"/>
        <w:rPr>
          <w:rFonts w:ascii="Palatino Linotype" w:hAnsi="Palatino Linotype"/>
          <w:sz w:val="20"/>
          <w:szCs w:val="20"/>
        </w:rPr>
      </w:pPr>
      <w:r w:rsidRPr="00F1103D">
        <w:rPr>
          <w:rStyle w:val="FootnoteReference"/>
          <w:rFonts w:ascii="Palatino Linotype" w:hAnsi="Palatino Linotype"/>
          <w:sz w:val="20"/>
          <w:szCs w:val="20"/>
        </w:rPr>
        <w:footnoteRef/>
      </w:r>
      <w:r w:rsidRPr="00F1103D">
        <w:rPr>
          <w:rFonts w:ascii="Palatino Linotype" w:hAnsi="Palatino Linotype"/>
          <w:sz w:val="20"/>
          <w:szCs w:val="20"/>
        </w:rPr>
        <w:t xml:space="preserve"> Smith, ‘Letter to Brothers and Sisters’ (n.s., Early February 1850). </w:t>
      </w:r>
    </w:p>
  </w:footnote>
  <w:footnote w:id="213">
    <w:p w:rsidR="00D42FBF" w:rsidRPr="00F1103D" w:rsidRDefault="00D42FBF" w:rsidP="001761FF">
      <w:pPr>
        <w:pStyle w:val="FootnoteText"/>
        <w:ind w:left="90" w:hanging="90"/>
        <w:jc w:val="both"/>
        <w:rPr>
          <w:rFonts w:ascii="Palatino Linotype" w:hAnsi="Palatino Linotype" w:cs="Arial"/>
          <w:color w:val="000000"/>
        </w:rPr>
      </w:pPr>
      <w:r w:rsidRPr="00F1103D">
        <w:rPr>
          <w:rStyle w:val="FootnoteReference"/>
          <w:rFonts w:ascii="Palatino Linotype" w:hAnsi="Palatino Linotype"/>
        </w:rPr>
        <w:footnoteRef/>
      </w:r>
      <w:r w:rsidRPr="00F1103D">
        <w:rPr>
          <w:rFonts w:ascii="Palatino Linotype" w:hAnsi="Palatino Linotype"/>
        </w:rPr>
        <w:t xml:space="preserve"> </w:t>
      </w:r>
      <w:r w:rsidRPr="00F1103D">
        <w:rPr>
          <w:rFonts w:ascii="Palatino Linotype" w:hAnsi="Palatino Linotype" w:cs="Arial"/>
          <w:color w:val="000000"/>
        </w:rPr>
        <w:t>Smith, ‘Letter to Sister’ (Bhamdoun, 9 September 1847).</w:t>
      </w:r>
    </w:p>
  </w:footnote>
  <w:footnote w:id="214">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Beadle, ‘Letter To the Brethren Who Shall Be Designated to Aleppo’ (Aleppo, 22 May 1841).</w:t>
      </w:r>
    </w:p>
  </w:footnote>
  <w:footnote w:id="215">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For suggestions on how to ‘correctly’ prepare an American bed see Beecher, </w:t>
      </w:r>
      <w:r w:rsidRPr="00F1103D">
        <w:rPr>
          <w:rFonts w:ascii="Palatino Linotype" w:hAnsi="Palatino Linotype"/>
          <w:i/>
        </w:rPr>
        <w:t>A Treatise on Domestic Economy</w:t>
      </w:r>
      <w:r w:rsidRPr="00F1103D">
        <w:rPr>
          <w:rFonts w:ascii="Palatino Linotype" w:hAnsi="Palatino Linotype"/>
        </w:rPr>
        <w:t>: 314-315.</w:t>
      </w:r>
    </w:p>
  </w:footnote>
  <w:footnote w:id="216">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A description of this process is found in Makdisi, </w:t>
      </w:r>
      <w:r w:rsidRPr="00F1103D">
        <w:rPr>
          <w:rFonts w:ascii="Palatino Linotype" w:hAnsi="Palatino Linotype"/>
          <w:i/>
        </w:rPr>
        <w:t>Teta, Mother and Me</w:t>
      </w:r>
      <w:r w:rsidRPr="00F1103D">
        <w:rPr>
          <w:rFonts w:ascii="Palatino Linotype" w:hAnsi="Palatino Linotype"/>
        </w:rPr>
        <w:t xml:space="preserve">: </w:t>
      </w:r>
      <w:r w:rsidRPr="00F1103D">
        <w:rPr>
          <w:rFonts w:ascii="Palatino Linotype" w:hAnsi="Palatino Linotype" w:cs="Arial"/>
          <w:color w:val="000000"/>
        </w:rPr>
        <w:t>162.</w:t>
      </w:r>
    </w:p>
  </w:footnote>
  <w:footnote w:id="217">
    <w:p w:rsidR="00D42FBF" w:rsidRPr="00F1103D" w:rsidRDefault="00D42FBF" w:rsidP="001761FF">
      <w:pPr>
        <w:pStyle w:val="FootnoteText"/>
        <w:ind w:left="90" w:hanging="90"/>
        <w:jc w:val="both"/>
        <w:rPr>
          <w:rFonts w:ascii="Palatino Linotype" w:hAnsi="Palatino Linotype" w:cs="Arial"/>
          <w:color w:val="000000"/>
        </w:rPr>
      </w:pPr>
      <w:r w:rsidRPr="00F1103D">
        <w:rPr>
          <w:rStyle w:val="FootnoteReference"/>
          <w:rFonts w:ascii="Palatino Linotype" w:hAnsi="Palatino Linotype"/>
        </w:rPr>
        <w:footnoteRef/>
      </w:r>
      <w:r w:rsidRPr="00F1103D">
        <w:rPr>
          <w:rFonts w:ascii="Palatino Linotype" w:hAnsi="Palatino Linotype"/>
        </w:rPr>
        <w:t xml:space="preserve"> </w:t>
      </w:r>
      <w:r w:rsidRPr="00F1103D">
        <w:rPr>
          <w:rFonts w:ascii="Palatino Linotype" w:hAnsi="Palatino Linotype" w:cs="Arial"/>
          <w:color w:val="000000"/>
        </w:rPr>
        <w:t>Smith, ‘Letter to Sister’ (Beirut, 15 March 1847).</w:t>
      </w:r>
    </w:p>
  </w:footnote>
  <w:footnote w:id="218">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Abby Bliss noted that in the late 1850s, she paid her male servant ninety piasters, or three dollars and sixty cents, per month. Considering that a dozen eggs cost six cents, it can be assumed that servants’ wages were spent primarily upon food and shelter, not on imported furniture. Bliss, </w:t>
      </w:r>
      <w:r w:rsidRPr="00F1103D">
        <w:rPr>
          <w:rFonts w:ascii="Palatino Linotype" w:hAnsi="Palatino Linotype"/>
          <w:i/>
        </w:rPr>
        <w:t>RDS</w:t>
      </w:r>
      <w:r w:rsidRPr="00F1103D">
        <w:rPr>
          <w:rFonts w:ascii="Palatino Linotype" w:hAnsi="Palatino Linotype"/>
        </w:rPr>
        <w:t>: 120. In contemporary Syria, mattresses and bedding were often given as part of wedding gifts, so that married couples did not have to actively purchase such items. It is unclear however, if Syrian Protestants received such items as wedding gifts. Klink, ‘Beyond the Tantur’: 198-200.</w:t>
      </w:r>
    </w:p>
  </w:footnote>
  <w:footnote w:id="219">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Smith, ‘Letter to Sister’ (Beirut, 20 February 1847); Henrietta Smith, ‘Letter to Sister’ (Beirut, 11 May 1847): YDS: ES Box 1: Folder 17.</w:t>
      </w:r>
    </w:p>
  </w:footnote>
  <w:footnote w:id="220">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Four different men worked as cooks for the Smith family: Mikyail, Icoheel, Rachid and Yusuf Henrietta Smith, ‘Letter to Mother’ (Beirut, June [1847]): YDS: ES Box. I: Folder 17; Henrietta. Smith, ‘Letter to Sister’ (Abeih, 28 June 1848): YDS: ES Box 1: Folder 18; Smith, ‘Fragment Letter’ (n.s., [late] 1850); Eli Smith, ‘Letter to Wife’ (n.s., ‘Monday evening’ [1856]): YDS: ES Box 1: Folder 10.</w:t>
      </w:r>
    </w:p>
  </w:footnote>
  <w:footnote w:id="221">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Although not explaining this ‘reverse’ of gender roles, Effendi argued that the cooks within ‘European and wealthy Oriental families’ were originally from Armenia, while Daniel Bliss recalled that the missionaries employed Greek cooks in Smyrna. Effendi, </w:t>
      </w:r>
      <w:r w:rsidRPr="00F1103D">
        <w:rPr>
          <w:rFonts w:ascii="Palatino Linotype" w:hAnsi="Palatino Linotype"/>
          <w:i/>
        </w:rPr>
        <w:t>The Thistle and the Cedar of Lebanon</w:t>
      </w:r>
      <w:r w:rsidRPr="00F1103D">
        <w:rPr>
          <w:rFonts w:ascii="Palatino Linotype" w:hAnsi="Palatino Linotype"/>
        </w:rPr>
        <w:t xml:space="preserve">: 342-343. Bliss, </w:t>
      </w:r>
      <w:r w:rsidRPr="00F1103D">
        <w:rPr>
          <w:rFonts w:ascii="Palatino Linotype" w:hAnsi="Palatino Linotype"/>
          <w:i/>
        </w:rPr>
        <w:t>RDS</w:t>
      </w:r>
      <w:r w:rsidRPr="00F1103D">
        <w:rPr>
          <w:rFonts w:ascii="Palatino Linotype" w:hAnsi="Palatino Linotype"/>
        </w:rPr>
        <w:t>: 98.</w:t>
      </w:r>
    </w:p>
  </w:footnote>
  <w:footnote w:id="222">
    <w:p w:rsidR="00D42FBF" w:rsidRPr="00F1103D" w:rsidRDefault="00D42FBF" w:rsidP="001761FF">
      <w:pPr>
        <w:pStyle w:val="FootnoteText"/>
        <w:ind w:left="90" w:hanging="90"/>
        <w:jc w:val="both"/>
        <w:rPr>
          <w:rFonts w:ascii="Palatino Linotype" w:hAnsi="Palatino Linotype" w:cs="Arial"/>
          <w:color w:val="000000"/>
        </w:rPr>
      </w:pPr>
      <w:r w:rsidRPr="00F1103D">
        <w:rPr>
          <w:rStyle w:val="FootnoteReference"/>
          <w:rFonts w:ascii="Palatino Linotype" w:hAnsi="Palatino Linotype"/>
        </w:rPr>
        <w:footnoteRef/>
      </w:r>
      <w:r w:rsidRPr="00F1103D">
        <w:rPr>
          <w:rFonts w:ascii="Palatino Linotype" w:hAnsi="Palatino Linotype"/>
        </w:rPr>
        <w:t xml:space="preserve"> Emphasis removed. </w:t>
      </w:r>
      <w:r w:rsidRPr="00F1103D">
        <w:rPr>
          <w:rFonts w:ascii="Palatino Linotype" w:hAnsi="Palatino Linotype" w:cs="Arial"/>
          <w:color w:val="000000"/>
        </w:rPr>
        <w:t>Smith, ‘Letter to Sister’ (Beirut, 20 February 1847); Henrietta Smith, ‘Letter to Mother’ (n.s., 10 February [1849]): YDS: ES Box 1: Folder 19.</w:t>
      </w:r>
    </w:p>
  </w:footnote>
  <w:footnote w:id="223">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Smith, ‘Letter to Sister’ (Beirut, 1 January 1849).</w:t>
      </w:r>
    </w:p>
  </w:footnote>
  <w:footnote w:id="224">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DeForest, ‘Journal’ (n.s., 1842).</w:t>
      </w:r>
    </w:p>
  </w:footnote>
  <w:footnote w:id="225">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DeForest, ‘Journal’ (n.s., 1842); Smith, ‘Letter to Sister’ (Beirut, 9 May 1848); Thomson,</w:t>
      </w:r>
      <w:r w:rsidRPr="00F1103D">
        <w:rPr>
          <w:rFonts w:ascii="Palatino Linotype" w:hAnsi="Palatino Linotype"/>
          <w:i/>
        </w:rPr>
        <w:t xml:space="preserve"> LB</w:t>
      </w:r>
      <w:r w:rsidRPr="00F1103D">
        <w:rPr>
          <w:rFonts w:ascii="Palatino Linotype" w:hAnsi="Palatino Linotype"/>
        </w:rPr>
        <w:t>: 587. Compare this with British imperial agents who rejected Indian cuisine, but accepted/adapted them when they returned to the United Kingdom. Chaudhuri, ‘Shawls, Jewellery, Curry and Rice’: 232.</w:t>
      </w:r>
    </w:p>
  </w:footnote>
  <w:footnote w:id="226">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Smith, ‘Letter to Sister’ (Beirut, 1 January 1849); Smith, ‘Letter to Mother’ (n.s., 10 February [1849]); Smith, ‘Letter to Sister: attached to Eli Smith’s letter to Brother’ (Bhamdoun, 29 June 1849); </w:t>
      </w:r>
      <w:r w:rsidRPr="00F1103D">
        <w:rPr>
          <w:rFonts w:ascii="Palatino Linotype" w:hAnsi="Palatino Linotype" w:cs="Arial"/>
          <w:color w:val="000000"/>
        </w:rPr>
        <w:t>Thomson,</w:t>
      </w:r>
      <w:r w:rsidRPr="00F1103D">
        <w:rPr>
          <w:rFonts w:ascii="Palatino Linotype" w:hAnsi="Palatino Linotype" w:cs="Arial"/>
          <w:i/>
          <w:color w:val="000000"/>
        </w:rPr>
        <w:t xml:space="preserve"> LB</w:t>
      </w:r>
      <w:r w:rsidRPr="00F1103D">
        <w:rPr>
          <w:rFonts w:ascii="Palatino Linotype" w:hAnsi="Palatino Linotype" w:cs="Arial"/>
          <w:color w:val="000000"/>
        </w:rPr>
        <w:t>: 393.</w:t>
      </w:r>
    </w:p>
  </w:footnote>
  <w:footnote w:id="227">
    <w:p w:rsidR="00D42FBF" w:rsidRPr="00F1103D" w:rsidRDefault="00D42FBF" w:rsidP="001761FF">
      <w:pPr>
        <w:pStyle w:val="FootnoteText"/>
        <w:tabs>
          <w:tab w:val="left" w:pos="180"/>
        </w:tabs>
        <w:ind w:left="90" w:hanging="90"/>
        <w:jc w:val="both"/>
        <w:rPr>
          <w:rFonts w:ascii="Palatino Linotype" w:hAnsi="Palatino Linotype" w:cs="Arial"/>
          <w:color w:val="000000"/>
        </w:rPr>
      </w:pPr>
      <w:r w:rsidRPr="00F1103D">
        <w:rPr>
          <w:rStyle w:val="FootnoteReference"/>
          <w:rFonts w:ascii="Palatino Linotype" w:hAnsi="Palatino Linotype"/>
        </w:rPr>
        <w:footnoteRef/>
      </w:r>
      <w:r w:rsidRPr="00F1103D">
        <w:rPr>
          <w:rFonts w:ascii="Palatino Linotype" w:hAnsi="Palatino Linotype"/>
        </w:rPr>
        <w:t xml:space="preserve"> Smith, ‘Letter to Sister’ (Beirut, 1 January 1849); </w:t>
      </w:r>
      <w:r w:rsidRPr="00F1103D">
        <w:rPr>
          <w:rFonts w:ascii="Palatino Linotype" w:hAnsi="Palatino Linotype" w:cs="Arial"/>
          <w:color w:val="000000"/>
        </w:rPr>
        <w:t>Thomson,</w:t>
      </w:r>
      <w:r w:rsidRPr="00F1103D">
        <w:rPr>
          <w:rFonts w:ascii="Palatino Linotype" w:hAnsi="Palatino Linotype" w:cs="Arial"/>
          <w:i/>
          <w:color w:val="000000"/>
        </w:rPr>
        <w:t xml:space="preserve"> LB</w:t>
      </w:r>
      <w:r w:rsidRPr="00F1103D">
        <w:rPr>
          <w:rFonts w:ascii="Palatino Linotype" w:hAnsi="Palatino Linotype" w:cs="Arial"/>
          <w:color w:val="000000"/>
        </w:rPr>
        <w:t>: 138; Smith, ‘Letter to Brother’ (Bhamdoun, 14 August 1834).</w:t>
      </w:r>
    </w:p>
  </w:footnote>
  <w:footnote w:id="228">
    <w:p w:rsidR="00D42FBF" w:rsidRPr="00F1103D" w:rsidRDefault="00D42FBF" w:rsidP="001761FF">
      <w:pPr>
        <w:ind w:left="90" w:hanging="90"/>
        <w:jc w:val="both"/>
        <w:rPr>
          <w:rFonts w:ascii="Palatino Linotype" w:hAnsi="Palatino Linotype"/>
          <w:sz w:val="20"/>
          <w:szCs w:val="20"/>
        </w:rPr>
      </w:pPr>
      <w:r w:rsidRPr="00F1103D">
        <w:rPr>
          <w:rStyle w:val="FootnoteReference"/>
          <w:rFonts w:ascii="Palatino Linotype" w:hAnsi="Palatino Linotype"/>
          <w:sz w:val="20"/>
          <w:szCs w:val="20"/>
        </w:rPr>
        <w:footnoteRef/>
      </w:r>
      <w:r w:rsidRPr="00F1103D">
        <w:rPr>
          <w:rFonts w:ascii="Palatino Linotype" w:hAnsi="Palatino Linotype"/>
          <w:sz w:val="20"/>
          <w:szCs w:val="20"/>
        </w:rPr>
        <w:t xml:space="preserve"> </w:t>
      </w:r>
      <w:r w:rsidRPr="00F1103D">
        <w:rPr>
          <w:rFonts w:ascii="Palatino Linotype" w:hAnsi="Palatino Linotype" w:cs="Arial"/>
          <w:color w:val="000000"/>
          <w:sz w:val="20"/>
          <w:szCs w:val="20"/>
        </w:rPr>
        <w:t xml:space="preserve">Smith, ‘Letter to Sister’ (Beirut, 20 February 1847); </w:t>
      </w:r>
      <w:r w:rsidRPr="00F1103D">
        <w:rPr>
          <w:rFonts w:ascii="Palatino Linotype" w:hAnsi="Palatino Linotype"/>
          <w:sz w:val="20"/>
          <w:szCs w:val="20"/>
        </w:rPr>
        <w:t>Jessup, ‘Letter to Mother’ (Beirut, 3 April 1857); Smith, ‘Letter to Wife’ (n.s., ‘Monday evening’ [1856]).</w:t>
      </w:r>
    </w:p>
  </w:footnote>
  <w:footnote w:id="229">
    <w:p w:rsidR="00D42FBF" w:rsidRPr="00F1103D" w:rsidRDefault="00D42FBF" w:rsidP="001761FF">
      <w:pPr>
        <w:pStyle w:val="FootnoteText"/>
        <w:ind w:left="90" w:hanging="90"/>
        <w:jc w:val="both"/>
        <w:rPr>
          <w:rFonts w:ascii="Palatino Linotype" w:hAnsi="Palatino Linotype" w:cs="Arial"/>
          <w:color w:val="000000"/>
        </w:rPr>
      </w:pPr>
      <w:r w:rsidRPr="00F1103D">
        <w:rPr>
          <w:rStyle w:val="FootnoteReference"/>
          <w:rFonts w:ascii="Palatino Linotype" w:hAnsi="Palatino Linotype"/>
        </w:rPr>
        <w:footnoteRef/>
      </w:r>
      <w:r w:rsidRPr="00F1103D">
        <w:rPr>
          <w:rFonts w:ascii="Palatino Linotype" w:hAnsi="Palatino Linotype" w:cs="Arial"/>
          <w:color w:val="000000"/>
        </w:rPr>
        <w:t xml:space="preserve"> Smith, ‘Letter to Sister’ (Beirut, 1 May 1854).</w:t>
      </w:r>
    </w:p>
  </w:footnote>
  <w:footnote w:id="230">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Smith, ‘Fragment Letter’ (n.s., [late] 1850); Smith, ‘Letter to Sister’ (Beirut, 20 February 1847); Smith, ‘Letter to Sisters’ (Beirut, 8 May 1850).</w:t>
      </w:r>
    </w:p>
  </w:footnote>
  <w:footnote w:id="231">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Bliss, </w:t>
      </w:r>
      <w:r w:rsidRPr="00F1103D">
        <w:rPr>
          <w:rFonts w:ascii="Palatino Linotype" w:hAnsi="Palatino Linotype"/>
          <w:i/>
        </w:rPr>
        <w:t>RDS</w:t>
      </w:r>
      <w:r w:rsidRPr="00F1103D">
        <w:rPr>
          <w:rFonts w:ascii="Palatino Linotype" w:hAnsi="Palatino Linotype"/>
        </w:rPr>
        <w:t>: 99.</w:t>
      </w:r>
    </w:p>
  </w:footnote>
  <w:footnote w:id="232">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Smith, ‘Letter to Sister’ (Beirut, 20 February 1847)</w:t>
      </w:r>
      <w:r w:rsidRPr="00F1103D">
        <w:rPr>
          <w:rFonts w:ascii="Palatino Linotype" w:hAnsi="Palatino Linotype" w:cs="Arial"/>
          <w:color w:val="000000"/>
        </w:rPr>
        <w:t>; Smith, ‘Letter to Sister’ (n.s., 10 March 1847).</w:t>
      </w:r>
    </w:p>
  </w:footnote>
  <w:footnote w:id="233">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Smith, ‘Letter to Sister’ (Beirut, 20 February 1847); Smith, ‘Letter to Sister’ (Beirut, 1 January 1849).</w:t>
      </w:r>
    </w:p>
  </w:footnote>
  <w:footnote w:id="234">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w:t>
      </w:r>
      <w:r w:rsidRPr="00F1103D">
        <w:rPr>
          <w:rFonts w:ascii="Palatino Linotype" w:hAnsi="Palatino Linotype" w:cs="Arial"/>
        </w:rPr>
        <w:t xml:space="preserve">DeForest, </w:t>
      </w:r>
      <w:r w:rsidRPr="00F1103D">
        <w:rPr>
          <w:rFonts w:ascii="Palatino Linotype" w:hAnsi="Palatino Linotype"/>
        </w:rPr>
        <w:t xml:space="preserve">‘Letter to R. Anderson’ (Abeih, </w:t>
      </w:r>
      <w:r w:rsidRPr="00F1103D">
        <w:rPr>
          <w:rFonts w:ascii="Palatino Linotype" w:hAnsi="Palatino Linotype" w:cs="Arial"/>
        </w:rPr>
        <w:t>15 August 1850): 139.</w:t>
      </w:r>
    </w:p>
  </w:footnote>
  <w:footnote w:id="235">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Smith, ‘Letter to Sister’ (Beirut, 9 May 1848).</w:t>
      </w:r>
    </w:p>
  </w:footnote>
  <w:footnote w:id="236">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DeForest, </w:t>
      </w:r>
      <w:r w:rsidRPr="00F1103D">
        <w:rPr>
          <w:rFonts w:ascii="Palatino Linotype" w:hAnsi="Palatino Linotype"/>
          <w:i/>
        </w:rPr>
        <w:t>Oriental Acquaintance</w:t>
      </w:r>
      <w:r w:rsidRPr="00F1103D">
        <w:rPr>
          <w:rFonts w:ascii="Palatino Linotype" w:hAnsi="Palatino Linotype"/>
        </w:rPr>
        <w:t>: 47-50.</w:t>
      </w:r>
    </w:p>
  </w:footnote>
  <w:footnote w:id="237">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Hooker, </w:t>
      </w:r>
      <w:r w:rsidRPr="00F1103D">
        <w:rPr>
          <w:rFonts w:ascii="Palatino Linotype" w:hAnsi="Palatino Linotype"/>
          <w:i/>
        </w:rPr>
        <w:t>MSLS</w:t>
      </w:r>
      <w:r w:rsidRPr="00F1103D">
        <w:rPr>
          <w:rFonts w:ascii="Palatino Linotype" w:hAnsi="Palatino Linotype"/>
        </w:rPr>
        <w:t>: 280.</w:t>
      </w:r>
    </w:p>
  </w:footnote>
  <w:footnote w:id="238">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It has been argued that culinary knowledge in the Middle East was orally transmitted until the end of the nineteenth century, when cookbooks became popular and when female literacy increased. Juan E. Campo and Magda Campo, ‘Food Preparation’, in S. Joseph (ed.), </w:t>
      </w:r>
      <w:r w:rsidRPr="00F1103D">
        <w:rPr>
          <w:rFonts w:ascii="Palatino Linotype" w:hAnsi="Palatino Linotype"/>
          <w:i/>
        </w:rPr>
        <w:t>EWIC: III: Family, Body, Sexuality and Health</w:t>
      </w:r>
      <w:r w:rsidRPr="00F1103D">
        <w:rPr>
          <w:rFonts w:ascii="Palatino Linotype" w:hAnsi="Palatino Linotype"/>
        </w:rPr>
        <w:t xml:space="preserve"> (Leiden and Boston: Brill, 2006):</w:t>
      </w:r>
      <w:r w:rsidRPr="00F1103D">
        <w:rPr>
          <w:rFonts w:ascii="Palatino Linotype" w:hAnsi="Palatino Linotype"/>
          <w:i/>
        </w:rPr>
        <w:t xml:space="preserve"> </w:t>
      </w:r>
      <w:r w:rsidRPr="00F1103D">
        <w:rPr>
          <w:rFonts w:ascii="Palatino Linotype" w:hAnsi="Palatino Linotype"/>
        </w:rPr>
        <w:t>105-106.</w:t>
      </w:r>
    </w:p>
  </w:footnote>
  <w:footnote w:id="239">
    <w:p w:rsidR="00D42FBF" w:rsidRPr="00F1103D" w:rsidRDefault="00D42FBF" w:rsidP="001761FF">
      <w:pPr>
        <w:pStyle w:val="FootnoteText"/>
        <w:ind w:left="90" w:hanging="90"/>
        <w:jc w:val="both"/>
        <w:rPr>
          <w:rFonts w:ascii="Palatino Linotype" w:hAnsi="Palatino Linotype"/>
        </w:rPr>
      </w:pPr>
      <w:r w:rsidRPr="00F1103D">
        <w:rPr>
          <w:rStyle w:val="FootnoteReference"/>
          <w:rFonts w:ascii="Palatino Linotype" w:hAnsi="Palatino Linotype"/>
        </w:rPr>
        <w:footnoteRef/>
      </w:r>
      <w:r w:rsidRPr="00F1103D">
        <w:rPr>
          <w:rFonts w:ascii="Palatino Linotype" w:hAnsi="Palatino Linotype"/>
        </w:rPr>
        <w:t xml:space="preserve"> Abby Bliss in Bliss, </w:t>
      </w:r>
      <w:r w:rsidRPr="00F1103D">
        <w:rPr>
          <w:rFonts w:ascii="Palatino Linotype" w:hAnsi="Palatino Linotype"/>
          <w:i/>
        </w:rPr>
        <w:t>RDS</w:t>
      </w:r>
      <w:r w:rsidRPr="00F1103D">
        <w:rPr>
          <w:rFonts w:ascii="Palatino Linotype" w:hAnsi="Palatino Linotype"/>
        </w:rPr>
        <w:t>: 129-130.</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24669CE"/>
    <w:multiLevelType w:val="hybridMultilevel"/>
    <w:tmpl w:val="BCA0C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E2E3567"/>
    <w:multiLevelType w:val="multilevel"/>
    <w:tmpl w:val="D93E9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80C392B"/>
    <w:multiLevelType w:val="hybridMultilevel"/>
    <w:tmpl w:val="D20CA59A"/>
    <w:lvl w:ilvl="0" w:tplc="42D662FC">
      <w:start w:val="1835"/>
      <w:numFmt w:val="bullet"/>
      <w:lvlText w:val=""/>
      <w:lvlJc w:val="left"/>
      <w:pPr>
        <w:tabs>
          <w:tab w:val="num" w:pos="420"/>
        </w:tabs>
        <w:ind w:left="420" w:hanging="360"/>
      </w:pPr>
      <w:rPr>
        <w:rFonts w:ascii="Symbol" w:eastAsia="Times New Roman" w:hAnsi="Symbol" w:cs="Times New Roman"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7"/>
  <w:stylePaneFormatFilter w:val="3F01"/>
  <w:defaultTabStop w:val="720"/>
  <w:noPunctuationKerning/>
  <w:characterSpacingControl w:val="doNotCompress"/>
  <w:footnotePr>
    <w:numRestart w:val="eachSect"/>
    <w:footnote w:id="0"/>
    <w:footnote w:id="1"/>
  </w:footnotePr>
  <w:endnotePr>
    <w:endnote w:id="0"/>
    <w:endnote w:id="1"/>
  </w:endnotePr>
  <w:compat/>
  <w:rsids>
    <w:rsidRoot w:val="00246C02"/>
    <w:rsid w:val="00000280"/>
    <w:rsid w:val="000003C3"/>
    <w:rsid w:val="00002306"/>
    <w:rsid w:val="00002D40"/>
    <w:rsid w:val="00003096"/>
    <w:rsid w:val="00003619"/>
    <w:rsid w:val="000036DE"/>
    <w:rsid w:val="0000439B"/>
    <w:rsid w:val="000046D9"/>
    <w:rsid w:val="000049C3"/>
    <w:rsid w:val="00005237"/>
    <w:rsid w:val="0000610B"/>
    <w:rsid w:val="0000792D"/>
    <w:rsid w:val="00010F14"/>
    <w:rsid w:val="00013AD9"/>
    <w:rsid w:val="00014C37"/>
    <w:rsid w:val="000170EB"/>
    <w:rsid w:val="0002063F"/>
    <w:rsid w:val="00020A5E"/>
    <w:rsid w:val="00021744"/>
    <w:rsid w:val="0002176C"/>
    <w:rsid w:val="00021AC1"/>
    <w:rsid w:val="00021E4E"/>
    <w:rsid w:val="0002223A"/>
    <w:rsid w:val="0002684B"/>
    <w:rsid w:val="00026ED0"/>
    <w:rsid w:val="000270A3"/>
    <w:rsid w:val="00027C5C"/>
    <w:rsid w:val="0003188A"/>
    <w:rsid w:val="00032DC8"/>
    <w:rsid w:val="000332BE"/>
    <w:rsid w:val="00033D1F"/>
    <w:rsid w:val="00033EB4"/>
    <w:rsid w:val="000349CB"/>
    <w:rsid w:val="00034F8A"/>
    <w:rsid w:val="00035C19"/>
    <w:rsid w:val="00036C09"/>
    <w:rsid w:val="00037B66"/>
    <w:rsid w:val="00037BFE"/>
    <w:rsid w:val="00037FD4"/>
    <w:rsid w:val="00041AB6"/>
    <w:rsid w:val="00045901"/>
    <w:rsid w:val="000463DC"/>
    <w:rsid w:val="00046C37"/>
    <w:rsid w:val="00047154"/>
    <w:rsid w:val="000478DB"/>
    <w:rsid w:val="00050334"/>
    <w:rsid w:val="000511E1"/>
    <w:rsid w:val="000514AE"/>
    <w:rsid w:val="00051630"/>
    <w:rsid w:val="00051A3E"/>
    <w:rsid w:val="00053D64"/>
    <w:rsid w:val="00054671"/>
    <w:rsid w:val="00055078"/>
    <w:rsid w:val="00055738"/>
    <w:rsid w:val="000603A9"/>
    <w:rsid w:val="00060FCC"/>
    <w:rsid w:val="000610A2"/>
    <w:rsid w:val="00061A6C"/>
    <w:rsid w:val="00064069"/>
    <w:rsid w:val="000675EB"/>
    <w:rsid w:val="000678F6"/>
    <w:rsid w:val="00070D08"/>
    <w:rsid w:val="0007123D"/>
    <w:rsid w:val="000719E1"/>
    <w:rsid w:val="000720D8"/>
    <w:rsid w:val="000735B8"/>
    <w:rsid w:val="00073797"/>
    <w:rsid w:val="00074815"/>
    <w:rsid w:val="00075658"/>
    <w:rsid w:val="00075D3E"/>
    <w:rsid w:val="0007649E"/>
    <w:rsid w:val="00076C01"/>
    <w:rsid w:val="0008156B"/>
    <w:rsid w:val="00084B75"/>
    <w:rsid w:val="00084DCE"/>
    <w:rsid w:val="00084E8E"/>
    <w:rsid w:val="0008640A"/>
    <w:rsid w:val="000864C2"/>
    <w:rsid w:val="00090160"/>
    <w:rsid w:val="000923BB"/>
    <w:rsid w:val="00093D72"/>
    <w:rsid w:val="000941F0"/>
    <w:rsid w:val="00096075"/>
    <w:rsid w:val="00097797"/>
    <w:rsid w:val="000A266F"/>
    <w:rsid w:val="000A386D"/>
    <w:rsid w:val="000A39DF"/>
    <w:rsid w:val="000A3B21"/>
    <w:rsid w:val="000A40C4"/>
    <w:rsid w:val="000A5726"/>
    <w:rsid w:val="000A6813"/>
    <w:rsid w:val="000A7394"/>
    <w:rsid w:val="000B0557"/>
    <w:rsid w:val="000B1682"/>
    <w:rsid w:val="000B2190"/>
    <w:rsid w:val="000B38B6"/>
    <w:rsid w:val="000B6577"/>
    <w:rsid w:val="000C0DD6"/>
    <w:rsid w:val="000C0F18"/>
    <w:rsid w:val="000C21CB"/>
    <w:rsid w:val="000C3EE5"/>
    <w:rsid w:val="000C46F4"/>
    <w:rsid w:val="000C753D"/>
    <w:rsid w:val="000D0DA5"/>
    <w:rsid w:val="000D34BF"/>
    <w:rsid w:val="000D3E8A"/>
    <w:rsid w:val="000D51C1"/>
    <w:rsid w:val="000D5B4B"/>
    <w:rsid w:val="000D6FFE"/>
    <w:rsid w:val="000D73A5"/>
    <w:rsid w:val="000E03EA"/>
    <w:rsid w:val="000E0E64"/>
    <w:rsid w:val="000E4712"/>
    <w:rsid w:val="000E4E05"/>
    <w:rsid w:val="000E6F48"/>
    <w:rsid w:val="000F0ACF"/>
    <w:rsid w:val="000F0CBC"/>
    <w:rsid w:val="000F0D72"/>
    <w:rsid w:val="000F1152"/>
    <w:rsid w:val="000F3361"/>
    <w:rsid w:val="000F3E76"/>
    <w:rsid w:val="000F4891"/>
    <w:rsid w:val="000F535F"/>
    <w:rsid w:val="000F5ED9"/>
    <w:rsid w:val="000F72FB"/>
    <w:rsid w:val="0010017A"/>
    <w:rsid w:val="001004BE"/>
    <w:rsid w:val="00100C39"/>
    <w:rsid w:val="00101064"/>
    <w:rsid w:val="0010268C"/>
    <w:rsid w:val="0010561E"/>
    <w:rsid w:val="001112A3"/>
    <w:rsid w:val="00111B88"/>
    <w:rsid w:val="00111BB8"/>
    <w:rsid w:val="00112417"/>
    <w:rsid w:val="00112903"/>
    <w:rsid w:val="00112A65"/>
    <w:rsid w:val="00112CAA"/>
    <w:rsid w:val="0011501D"/>
    <w:rsid w:val="00115205"/>
    <w:rsid w:val="00116289"/>
    <w:rsid w:val="0012096A"/>
    <w:rsid w:val="0012360B"/>
    <w:rsid w:val="00123882"/>
    <w:rsid w:val="00124181"/>
    <w:rsid w:val="0012440F"/>
    <w:rsid w:val="0012474D"/>
    <w:rsid w:val="00124AB3"/>
    <w:rsid w:val="0012627C"/>
    <w:rsid w:val="0012764F"/>
    <w:rsid w:val="00131010"/>
    <w:rsid w:val="00131287"/>
    <w:rsid w:val="00131736"/>
    <w:rsid w:val="00131E1D"/>
    <w:rsid w:val="00132666"/>
    <w:rsid w:val="001345D8"/>
    <w:rsid w:val="001349B5"/>
    <w:rsid w:val="00134C78"/>
    <w:rsid w:val="0013510F"/>
    <w:rsid w:val="00140141"/>
    <w:rsid w:val="0014109F"/>
    <w:rsid w:val="00141339"/>
    <w:rsid w:val="0014159F"/>
    <w:rsid w:val="0014227C"/>
    <w:rsid w:val="00142FDC"/>
    <w:rsid w:val="00143239"/>
    <w:rsid w:val="0014369E"/>
    <w:rsid w:val="00143DEB"/>
    <w:rsid w:val="00144B75"/>
    <w:rsid w:val="00145975"/>
    <w:rsid w:val="00145BAC"/>
    <w:rsid w:val="00146749"/>
    <w:rsid w:val="00146E3F"/>
    <w:rsid w:val="00146F3A"/>
    <w:rsid w:val="00150CFA"/>
    <w:rsid w:val="00150D90"/>
    <w:rsid w:val="00150E51"/>
    <w:rsid w:val="0015254E"/>
    <w:rsid w:val="001525D7"/>
    <w:rsid w:val="001532BC"/>
    <w:rsid w:val="00154CC3"/>
    <w:rsid w:val="00155320"/>
    <w:rsid w:val="0015581B"/>
    <w:rsid w:val="00155929"/>
    <w:rsid w:val="00156722"/>
    <w:rsid w:val="00156B96"/>
    <w:rsid w:val="00156F5E"/>
    <w:rsid w:val="00157E03"/>
    <w:rsid w:val="00160EC2"/>
    <w:rsid w:val="00162071"/>
    <w:rsid w:val="00164959"/>
    <w:rsid w:val="00164BA2"/>
    <w:rsid w:val="00165394"/>
    <w:rsid w:val="00165A98"/>
    <w:rsid w:val="00165B28"/>
    <w:rsid w:val="00166DDB"/>
    <w:rsid w:val="001707DB"/>
    <w:rsid w:val="00170C2F"/>
    <w:rsid w:val="00171CE6"/>
    <w:rsid w:val="00172D48"/>
    <w:rsid w:val="001730E1"/>
    <w:rsid w:val="00173E2C"/>
    <w:rsid w:val="00175320"/>
    <w:rsid w:val="0017551B"/>
    <w:rsid w:val="001770F5"/>
    <w:rsid w:val="00177D31"/>
    <w:rsid w:val="0018011D"/>
    <w:rsid w:val="0018090C"/>
    <w:rsid w:val="00180948"/>
    <w:rsid w:val="001810F0"/>
    <w:rsid w:val="001820CE"/>
    <w:rsid w:val="00182950"/>
    <w:rsid w:val="00183D6A"/>
    <w:rsid w:val="001840FF"/>
    <w:rsid w:val="00184B34"/>
    <w:rsid w:val="00184DF6"/>
    <w:rsid w:val="00186A4D"/>
    <w:rsid w:val="00186F0A"/>
    <w:rsid w:val="001870ED"/>
    <w:rsid w:val="00187E87"/>
    <w:rsid w:val="001923F5"/>
    <w:rsid w:val="00193F94"/>
    <w:rsid w:val="00195964"/>
    <w:rsid w:val="0019685D"/>
    <w:rsid w:val="001968A3"/>
    <w:rsid w:val="00197374"/>
    <w:rsid w:val="001973ED"/>
    <w:rsid w:val="00197EA3"/>
    <w:rsid w:val="001A0C0F"/>
    <w:rsid w:val="001A1340"/>
    <w:rsid w:val="001A1BB7"/>
    <w:rsid w:val="001A2F1F"/>
    <w:rsid w:val="001A2F47"/>
    <w:rsid w:val="001A2FDE"/>
    <w:rsid w:val="001A3ED6"/>
    <w:rsid w:val="001A4BA3"/>
    <w:rsid w:val="001B1C90"/>
    <w:rsid w:val="001B2793"/>
    <w:rsid w:val="001B2D50"/>
    <w:rsid w:val="001B2FB2"/>
    <w:rsid w:val="001B3874"/>
    <w:rsid w:val="001B4F13"/>
    <w:rsid w:val="001B6447"/>
    <w:rsid w:val="001B6868"/>
    <w:rsid w:val="001B72F3"/>
    <w:rsid w:val="001C08DB"/>
    <w:rsid w:val="001C15F3"/>
    <w:rsid w:val="001C270A"/>
    <w:rsid w:val="001C314A"/>
    <w:rsid w:val="001C4A8E"/>
    <w:rsid w:val="001C7686"/>
    <w:rsid w:val="001C7EA8"/>
    <w:rsid w:val="001D0BD6"/>
    <w:rsid w:val="001D0F8A"/>
    <w:rsid w:val="001D180A"/>
    <w:rsid w:val="001D2B26"/>
    <w:rsid w:val="001D5276"/>
    <w:rsid w:val="001D57A6"/>
    <w:rsid w:val="001E04B0"/>
    <w:rsid w:val="001E215F"/>
    <w:rsid w:val="001E37C2"/>
    <w:rsid w:val="001E45D0"/>
    <w:rsid w:val="001E53F5"/>
    <w:rsid w:val="001E6645"/>
    <w:rsid w:val="001E6801"/>
    <w:rsid w:val="001E6FC7"/>
    <w:rsid w:val="001E7CEE"/>
    <w:rsid w:val="001F05AB"/>
    <w:rsid w:val="001F0826"/>
    <w:rsid w:val="001F1786"/>
    <w:rsid w:val="001F2AD7"/>
    <w:rsid w:val="001F2EA4"/>
    <w:rsid w:val="001F745C"/>
    <w:rsid w:val="001F7560"/>
    <w:rsid w:val="002007B2"/>
    <w:rsid w:val="00201FF8"/>
    <w:rsid w:val="00202385"/>
    <w:rsid w:val="002039F3"/>
    <w:rsid w:val="00206759"/>
    <w:rsid w:val="0020731E"/>
    <w:rsid w:val="00214449"/>
    <w:rsid w:val="00214605"/>
    <w:rsid w:val="0021471D"/>
    <w:rsid w:val="00214DBB"/>
    <w:rsid w:val="00215A7F"/>
    <w:rsid w:val="00216B3A"/>
    <w:rsid w:val="00217DC3"/>
    <w:rsid w:val="002202BC"/>
    <w:rsid w:val="00220600"/>
    <w:rsid w:val="00221C2B"/>
    <w:rsid w:val="00223200"/>
    <w:rsid w:val="00224D84"/>
    <w:rsid w:val="00224D8E"/>
    <w:rsid w:val="00224E85"/>
    <w:rsid w:val="00225077"/>
    <w:rsid w:val="0022651E"/>
    <w:rsid w:val="00227238"/>
    <w:rsid w:val="00227270"/>
    <w:rsid w:val="0022755C"/>
    <w:rsid w:val="002277F8"/>
    <w:rsid w:val="00234422"/>
    <w:rsid w:val="00234992"/>
    <w:rsid w:val="00235666"/>
    <w:rsid w:val="00235749"/>
    <w:rsid w:val="00241B4F"/>
    <w:rsid w:val="00242D5C"/>
    <w:rsid w:val="00245502"/>
    <w:rsid w:val="00245DE9"/>
    <w:rsid w:val="002460E6"/>
    <w:rsid w:val="00246C02"/>
    <w:rsid w:val="002501C4"/>
    <w:rsid w:val="00250AF8"/>
    <w:rsid w:val="00250F9C"/>
    <w:rsid w:val="00250FB1"/>
    <w:rsid w:val="00251401"/>
    <w:rsid w:val="00252403"/>
    <w:rsid w:val="002540D8"/>
    <w:rsid w:val="00255152"/>
    <w:rsid w:val="00255576"/>
    <w:rsid w:val="00256519"/>
    <w:rsid w:val="002566A7"/>
    <w:rsid w:val="00256892"/>
    <w:rsid w:val="00257675"/>
    <w:rsid w:val="00260936"/>
    <w:rsid w:val="00260A5F"/>
    <w:rsid w:val="002610B7"/>
    <w:rsid w:val="002630CB"/>
    <w:rsid w:val="0026515F"/>
    <w:rsid w:val="00266B01"/>
    <w:rsid w:val="0026725D"/>
    <w:rsid w:val="00270332"/>
    <w:rsid w:val="0027176B"/>
    <w:rsid w:val="002729C5"/>
    <w:rsid w:val="0027478A"/>
    <w:rsid w:val="0027499D"/>
    <w:rsid w:val="002750B3"/>
    <w:rsid w:val="00275640"/>
    <w:rsid w:val="00276734"/>
    <w:rsid w:val="00276F9D"/>
    <w:rsid w:val="00277001"/>
    <w:rsid w:val="0027764C"/>
    <w:rsid w:val="002805F0"/>
    <w:rsid w:val="00280EE3"/>
    <w:rsid w:val="00280F43"/>
    <w:rsid w:val="00282387"/>
    <w:rsid w:val="00283D33"/>
    <w:rsid w:val="002844F2"/>
    <w:rsid w:val="00284692"/>
    <w:rsid w:val="00286FF2"/>
    <w:rsid w:val="00290C1B"/>
    <w:rsid w:val="00293F9D"/>
    <w:rsid w:val="002947C2"/>
    <w:rsid w:val="00294BDF"/>
    <w:rsid w:val="00296B77"/>
    <w:rsid w:val="00297A59"/>
    <w:rsid w:val="002A0230"/>
    <w:rsid w:val="002A14D7"/>
    <w:rsid w:val="002A2D89"/>
    <w:rsid w:val="002B10BE"/>
    <w:rsid w:val="002B1B94"/>
    <w:rsid w:val="002B33D0"/>
    <w:rsid w:val="002B3954"/>
    <w:rsid w:val="002B4261"/>
    <w:rsid w:val="002B5536"/>
    <w:rsid w:val="002B564A"/>
    <w:rsid w:val="002B5B37"/>
    <w:rsid w:val="002B5E80"/>
    <w:rsid w:val="002B5ECE"/>
    <w:rsid w:val="002C07D9"/>
    <w:rsid w:val="002C34BB"/>
    <w:rsid w:val="002C3F30"/>
    <w:rsid w:val="002C4AC6"/>
    <w:rsid w:val="002C5EDC"/>
    <w:rsid w:val="002C6C9C"/>
    <w:rsid w:val="002C723F"/>
    <w:rsid w:val="002C77C4"/>
    <w:rsid w:val="002C7A55"/>
    <w:rsid w:val="002D01E1"/>
    <w:rsid w:val="002D3467"/>
    <w:rsid w:val="002D460E"/>
    <w:rsid w:val="002D5207"/>
    <w:rsid w:val="002D5E09"/>
    <w:rsid w:val="002D77C5"/>
    <w:rsid w:val="002D7887"/>
    <w:rsid w:val="002E0905"/>
    <w:rsid w:val="002E0CD0"/>
    <w:rsid w:val="002E1507"/>
    <w:rsid w:val="002E288E"/>
    <w:rsid w:val="002E2E89"/>
    <w:rsid w:val="002E32B0"/>
    <w:rsid w:val="002E3E77"/>
    <w:rsid w:val="002E4BD0"/>
    <w:rsid w:val="002E5452"/>
    <w:rsid w:val="002E576D"/>
    <w:rsid w:val="002E6582"/>
    <w:rsid w:val="002E681A"/>
    <w:rsid w:val="002E6A65"/>
    <w:rsid w:val="002E71A6"/>
    <w:rsid w:val="002E7412"/>
    <w:rsid w:val="002F11B8"/>
    <w:rsid w:val="002F163A"/>
    <w:rsid w:val="002F1B06"/>
    <w:rsid w:val="002F1F00"/>
    <w:rsid w:val="002F337D"/>
    <w:rsid w:val="002F3C19"/>
    <w:rsid w:val="002F45E1"/>
    <w:rsid w:val="002F4BE0"/>
    <w:rsid w:val="002F5036"/>
    <w:rsid w:val="002F531C"/>
    <w:rsid w:val="002F5A6B"/>
    <w:rsid w:val="002F6235"/>
    <w:rsid w:val="002F7B26"/>
    <w:rsid w:val="002F7FFD"/>
    <w:rsid w:val="00300600"/>
    <w:rsid w:val="00302230"/>
    <w:rsid w:val="00302D7D"/>
    <w:rsid w:val="00304911"/>
    <w:rsid w:val="00304CA4"/>
    <w:rsid w:val="00304E09"/>
    <w:rsid w:val="003068B8"/>
    <w:rsid w:val="003118FB"/>
    <w:rsid w:val="0031204B"/>
    <w:rsid w:val="003139D8"/>
    <w:rsid w:val="00315196"/>
    <w:rsid w:val="00315339"/>
    <w:rsid w:val="00316F8A"/>
    <w:rsid w:val="003201F6"/>
    <w:rsid w:val="003233D3"/>
    <w:rsid w:val="00323F4F"/>
    <w:rsid w:val="00325FD5"/>
    <w:rsid w:val="00326544"/>
    <w:rsid w:val="003308D4"/>
    <w:rsid w:val="00331293"/>
    <w:rsid w:val="003314BA"/>
    <w:rsid w:val="003316C9"/>
    <w:rsid w:val="00332A58"/>
    <w:rsid w:val="0033427D"/>
    <w:rsid w:val="003346B6"/>
    <w:rsid w:val="00334E62"/>
    <w:rsid w:val="003425B2"/>
    <w:rsid w:val="00343130"/>
    <w:rsid w:val="00347D2D"/>
    <w:rsid w:val="00350028"/>
    <w:rsid w:val="003509C1"/>
    <w:rsid w:val="00351704"/>
    <w:rsid w:val="00352BAC"/>
    <w:rsid w:val="00352F9B"/>
    <w:rsid w:val="00353D40"/>
    <w:rsid w:val="00354712"/>
    <w:rsid w:val="0035603D"/>
    <w:rsid w:val="003577AF"/>
    <w:rsid w:val="00360395"/>
    <w:rsid w:val="00360BFB"/>
    <w:rsid w:val="00361B86"/>
    <w:rsid w:val="00364169"/>
    <w:rsid w:val="0036475E"/>
    <w:rsid w:val="003647F1"/>
    <w:rsid w:val="00364DB2"/>
    <w:rsid w:val="0036509F"/>
    <w:rsid w:val="003653D7"/>
    <w:rsid w:val="00365B1F"/>
    <w:rsid w:val="00366C95"/>
    <w:rsid w:val="0037095E"/>
    <w:rsid w:val="00370C9C"/>
    <w:rsid w:val="00371877"/>
    <w:rsid w:val="00372DC5"/>
    <w:rsid w:val="003735F1"/>
    <w:rsid w:val="003750BB"/>
    <w:rsid w:val="00375518"/>
    <w:rsid w:val="003808B2"/>
    <w:rsid w:val="003808DE"/>
    <w:rsid w:val="00381B53"/>
    <w:rsid w:val="003821BE"/>
    <w:rsid w:val="003823DD"/>
    <w:rsid w:val="00382EBE"/>
    <w:rsid w:val="003837F7"/>
    <w:rsid w:val="00383B6C"/>
    <w:rsid w:val="0038431E"/>
    <w:rsid w:val="00385DA4"/>
    <w:rsid w:val="00386044"/>
    <w:rsid w:val="0038619B"/>
    <w:rsid w:val="00386FD8"/>
    <w:rsid w:val="00387693"/>
    <w:rsid w:val="0038796E"/>
    <w:rsid w:val="00391F86"/>
    <w:rsid w:val="00392946"/>
    <w:rsid w:val="00393F5A"/>
    <w:rsid w:val="003945F7"/>
    <w:rsid w:val="00394622"/>
    <w:rsid w:val="003951F7"/>
    <w:rsid w:val="00397C11"/>
    <w:rsid w:val="003A0786"/>
    <w:rsid w:val="003A103D"/>
    <w:rsid w:val="003A1541"/>
    <w:rsid w:val="003A1A6E"/>
    <w:rsid w:val="003A46D4"/>
    <w:rsid w:val="003A485E"/>
    <w:rsid w:val="003A5BDB"/>
    <w:rsid w:val="003A7D50"/>
    <w:rsid w:val="003A7DEF"/>
    <w:rsid w:val="003B1D45"/>
    <w:rsid w:val="003B3277"/>
    <w:rsid w:val="003B335F"/>
    <w:rsid w:val="003B65DE"/>
    <w:rsid w:val="003B6900"/>
    <w:rsid w:val="003B6AE4"/>
    <w:rsid w:val="003B7501"/>
    <w:rsid w:val="003B7674"/>
    <w:rsid w:val="003C0173"/>
    <w:rsid w:val="003C0185"/>
    <w:rsid w:val="003C1762"/>
    <w:rsid w:val="003C2635"/>
    <w:rsid w:val="003C3BB3"/>
    <w:rsid w:val="003C4984"/>
    <w:rsid w:val="003C600E"/>
    <w:rsid w:val="003C6BB3"/>
    <w:rsid w:val="003C71AF"/>
    <w:rsid w:val="003C7579"/>
    <w:rsid w:val="003C7C97"/>
    <w:rsid w:val="003D0040"/>
    <w:rsid w:val="003D0558"/>
    <w:rsid w:val="003D2585"/>
    <w:rsid w:val="003D278A"/>
    <w:rsid w:val="003D2FC3"/>
    <w:rsid w:val="003D522B"/>
    <w:rsid w:val="003D5C7D"/>
    <w:rsid w:val="003E1AF1"/>
    <w:rsid w:val="003E1AF3"/>
    <w:rsid w:val="003E1F2C"/>
    <w:rsid w:val="003E273C"/>
    <w:rsid w:val="003E27A7"/>
    <w:rsid w:val="003E2E87"/>
    <w:rsid w:val="003E62AC"/>
    <w:rsid w:val="003E6838"/>
    <w:rsid w:val="003E7F78"/>
    <w:rsid w:val="003F1334"/>
    <w:rsid w:val="003F25BE"/>
    <w:rsid w:val="003F47CA"/>
    <w:rsid w:val="003F4C76"/>
    <w:rsid w:val="003F51DA"/>
    <w:rsid w:val="003F5C99"/>
    <w:rsid w:val="003F5D7E"/>
    <w:rsid w:val="003F7372"/>
    <w:rsid w:val="003F7999"/>
    <w:rsid w:val="00400D18"/>
    <w:rsid w:val="00403A8B"/>
    <w:rsid w:val="004040ED"/>
    <w:rsid w:val="00404A02"/>
    <w:rsid w:val="00406775"/>
    <w:rsid w:val="00407CFB"/>
    <w:rsid w:val="004117FE"/>
    <w:rsid w:val="004119FA"/>
    <w:rsid w:val="00412BCF"/>
    <w:rsid w:val="00414E23"/>
    <w:rsid w:val="0041502F"/>
    <w:rsid w:val="00415643"/>
    <w:rsid w:val="00416060"/>
    <w:rsid w:val="00422F30"/>
    <w:rsid w:val="00423D40"/>
    <w:rsid w:val="0042495A"/>
    <w:rsid w:val="004311A6"/>
    <w:rsid w:val="00432BE9"/>
    <w:rsid w:val="004366C1"/>
    <w:rsid w:val="00437166"/>
    <w:rsid w:val="004425D3"/>
    <w:rsid w:val="00443669"/>
    <w:rsid w:val="004441C8"/>
    <w:rsid w:val="00444B46"/>
    <w:rsid w:val="004454DC"/>
    <w:rsid w:val="0044592F"/>
    <w:rsid w:val="00446D05"/>
    <w:rsid w:val="0045066E"/>
    <w:rsid w:val="00450744"/>
    <w:rsid w:val="00450B01"/>
    <w:rsid w:val="004513B3"/>
    <w:rsid w:val="004520A6"/>
    <w:rsid w:val="0045326E"/>
    <w:rsid w:val="00453618"/>
    <w:rsid w:val="00453C6E"/>
    <w:rsid w:val="00455D9E"/>
    <w:rsid w:val="0046104F"/>
    <w:rsid w:val="00462075"/>
    <w:rsid w:val="00462AD6"/>
    <w:rsid w:val="00462BAF"/>
    <w:rsid w:val="004638E2"/>
    <w:rsid w:val="00463D26"/>
    <w:rsid w:val="004665C7"/>
    <w:rsid w:val="0047112F"/>
    <w:rsid w:val="00471E88"/>
    <w:rsid w:val="00473582"/>
    <w:rsid w:val="0047383F"/>
    <w:rsid w:val="00473C21"/>
    <w:rsid w:val="00474250"/>
    <w:rsid w:val="00476088"/>
    <w:rsid w:val="00477629"/>
    <w:rsid w:val="00477801"/>
    <w:rsid w:val="00477A3B"/>
    <w:rsid w:val="00483FA6"/>
    <w:rsid w:val="00484311"/>
    <w:rsid w:val="004905BB"/>
    <w:rsid w:val="0049113A"/>
    <w:rsid w:val="004911BC"/>
    <w:rsid w:val="00491713"/>
    <w:rsid w:val="004918C6"/>
    <w:rsid w:val="00492B6B"/>
    <w:rsid w:val="00493463"/>
    <w:rsid w:val="00494545"/>
    <w:rsid w:val="00495936"/>
    <w:rsid w:val="00495F40"/>
    <w:rsid w:val="00497FBC"/>
    <w:rsid w:val="004A1C17"/>
    <w:rsid w:val="004A2077"/>
    <w:rsid w:val="004A22F1"/>
    <w:rsid w:val="004A3C48"/>
    <w:rsid w:val="004A55F1"/>
    <w:rsid w:val="004A5F9A"/>
    <w:rsid w:val="004A7A09"/>
    <w:rsid w:val="004A7FAF"/>
    <w:rsid w:val="004B1268"/>
    <w:rsid w:val="004B1988"/>
    <w:rsid w:val="004B2B60"/>
    <w:rsid w:val="004B31B6"/>
    <w:rsid w:val="004B4139"/>
    <w:rsid w:val="004B5E87"/>
    <w:rsid w:val="004B651D"/>
    <w:rsid w:val="004B713D"/>
    <w:rsid w:val="004B7CC6"/>
    <w:rsid w:val="004C031E"/>
    <w:rsid w:val="004C0495"/>
    <w:rsid w:val="004C0A05"/>
    <w:rsid w:val="004C11AC"/>
    <w:rsid w:val="004C16E2"/>
    <w:rsid w:val="004C26BD"/>
    <w:rsid w:val="004C2B8F"/>
    <w:rsid w:val="004C2D81"/>
    <w:rsid w:val="004C3441"/>
    <w:rsid w:val="004C451E"/>
    <w:rsid w:val="004C5C35"/>
    <w:rsid w:val="004C7447"/>
    <w:rsid w:val="004C752D"/>
    <w:rsid w:val="004C7E0F"/>
    <w:rsid w:val="004D0EBE"/>
    <w:rsid w:val="004D17EF"/>
    <w:rsid w:val="004D2594"/>
    <w:rsid w:val="004D2750"/>
    <w:rsid w:val="004D2E74"/>
    <w:rsid w:val="004D32E6"/>
    <w:rsid w:val="004D4966"/>
    <w:rsid w:val="004D71DA"/>
    <w:rsid w:val="004E0205"/>
    <w:rsid w:val="004E17A2"/>
    <w:rsid w:val="004E20F8"/>
    <w:rsid w:val="004E4BEA"/>
    <w:rsid w:val="004E526A"/>
    <w:rsid w:val="004E5F66"/>
    <w:rsid w:val="004E7EC9"/>
    <w:rsid w:val="004F3675"/>
    <w:rsid w:val="004F3D78"/>
    <w:rsid w:val="004F7744"/>
    <w:rsid w:val="005009FD"/>
    <w:rsid w:val="0050200D"/>
    <w:rsid w:val="00502B2B"/>
    <w:rsid w:val="005042A4"/>
    <w:rsid w:val="00505644"/>
    <w:rsid w:val="00505A5B"/>
    <w:rsid w:val="005064BA"/>
    <w:rsid w:val="00506E92"/>
    <w:rsid w:val="00507060"/>
    <w:rsid w:val="00507A53"/>
    <w:rsid w:val="00510448"/>
    <w:rsid w:val="0051319F"/>
    <w:rsid w:val="00513281"/>
    <w:rsid w:val="00513932"/>
    <w:rsid w:val="00514023"/>
    <w:rsid w:val="005146F6"/>
    <w:rsid w:val="00514830"/>
    <w:rsid w:val="00515DCF"/>
    <w:rsid w:val="0052021E"/>
    <w:rsid w:val="00524C90"/>
    <w:rsid w:val="0052547E"/>
    <w:rsid w:val="0052566A"/>
    <w:rsid w:val="005276E9"/>
    <w:rsid w:val="00533531"/>
    <w:rsid w:val="00533797"/>
    <w:rsid w:val="00534E5D"/>
    <w:rsid w:val="00535A5E"/>
    <w:rsid w:val="00535B0A"/>
    <w:rsid w:val="00535F3A"/>
    <w:rsid w:val="0053601C"/>
    <w:rsid w:val="005361FB"/>
    <w:rsid w:val="0053761B"/>
    <w:rsid w:val="00537668"/>
    <w:rsid w:val="00540616"/>
    <w:rsid w:val="00541B2A"/>
    <w:rsid w:val="00541F76"/>
    <w:rsid w:val="0054389D"/>
    <w:rsid w:val="00543ADC"/>
    <w:rsid w:val="00544208"/>
    <w:rsid w:val="005442E4"/>
    <w:rsid w:val="00544B77"/>
    <w:rsid w:val="00545C6A"/>
    <w:rsid w:val="0054786B"/>
    <w:rsid w:val="00547F5C"/>
    <w:rsid w:val="00550606"/>
    <w:rsid w:val="00550893"/>
    <w:rsid w:val="00550B5D"/>
    <w:rsid w:val="00551913"/>
    <w:rsid w:val="00552AED"/>
    <w:rsid w:val="0055387A"/>
    <w:rsid w:val="00554704"/>
    <w:rsid w:val="00557CF4"/>
    <w:rsid w:val="0056025A"/>
    <w:rsid w:val="00562ACC"/>
    <w:rsid w:val="00563ABB"/>
    <w:rsid w:val="0056429F"/>
    <w:rsid w:val="005647C0"/>
    <w:rsid w:val="00565287"/>
    <w:rsid w:val="0056641A"/>
    <w:rsid w:val="0056644D"/>
    <w:rsid w:val="005671F8"/>
    <w:rsid w:val="00567D53"/>
    <w:rsid w:val="00570D7B"/>
    <w:rsid w:val="00571F6D"/>
    <w:rsid w:val="00572286"/>
    <w:rsid w:val="00572396"/>
    <w:rsid w:val="00572506"/>
    <w:rsid w:val="005732BC"/>
    <w:rsid w:val="00573F53"/>
    <w:rsid w:val="00574550"/>
    <w:rsid w:val="005752E0"/>
    <w:rsid w:val="00575C94"/>
    <w:rsid w:val="00575CB7"/>
    <w:rsid w:val="00576392"/>
    <w:rsid w:val="0057645F"/>
    <w:rsid w:val="00577CCD"/>
    <w:rsid w:val="005808CE"/>
    <w:rsid w:val="0058227D"/>
    <w:rsid w:val="0058313C"/>
    <w:rsid w:val="00583F38"/>
    <w:rsid w:val="005844F3"/>
    <w:rsid w:val="005855F9"/>
    <w:rsid w:val="00585C84"/>
    <w:rsid w:val="005869CA"/>
    <w:rsid w:val="005922B0"/>
    <w:rsid w:val="005935DF"/>
    <w:rsid w:val="0059379D"/>
    <w:rsid w:val="00593811"/>
    <w:rsid w:val="0059522C"/>
    <w:rsid w:val="00595D92"/>
    <w:rsid w:val="00596A49"/>
    <w:rsid w:val="00597A05"/>
    <w:rsid w:val="005A0142"/>
    <w:rsid w:val="005A08DE"/>
    <w:rsid w:val="005A0F97"/>
    <w:rsid w:val="005A11A3"/>
    <w:rsid w:val="005A20CF"/>
    <w:rsid w:val="005A286D"/>
    <w:rsid w:val="005A34BC"/>
    <w:rsid w:val="005B2DC0"/>
    <w:rsid w:val="005B396D"/>
    <w:rsid w:val="005B42D2"/>
    <w:rsid w:val="005B6423"/>
    <w:rsid w:val="005C18DD"/>
    <w:rsid w:val="005C2710"/>
    <w:rsid w:val="005C3D46"/>
    <w:rsid w:val="005C5572"/>
    <w:rsid w:val="005C5C18"/>
    <w:rsid w:val="005C6607"/>
    <w:rsid w:val="005C7A04"/>
    <w:rsid w:val="005D0EE3"/>
    <w:rsid w:val="005D175E"/>
    <w:rsid w:val="005D5CE8"/>
    <w:rsid w:val="005E0679"/>
    <w:rsid w:val="005E0A37"/>
    <w:rsid w:val="005E0E61"/>
    <w:rsid w:val="005E16A0"/>
    <w:rsid w:val="005E3870"/>
    <w:rsid w:val="005E3AFE"/>
    <w:rsid w:val="005E3F22"/>
    <w:rsid w:val="005E43F5"/>
    <w:rsid w:val="005E595E"/>
    <w:rsid w:val="005E60E1"/>
    <w:rsid w:val="005E6C77"/>
    <w:rsid w:val="005E722B"/>
    <w:rsid w:val="005E79C7"/>
    <w:rsid w:val="005F198A"/>
    <w:rsid w:val="005F36E5"/>
    <w:rsid w:val="005F40CF"/>
    <w:rsid w:val="005F654F"/>
    <w:rsid w:val="005F6935"/>
    <w:rsid w:val="005F6AE9"/>
    <w:rsid w:val="005F6FA1"/>
    <w:rsid w:val="005F71CE"/>
    <w:rsid w:val="005F7D0E"/>
    <w:rsid w:val="00600223"/>
    <w:rsid w:val="0060059C"/>
    <w:rsid w:val="00600E84"/>
    <w:rsid w:val="00601FE3"/>
    <w:rsid w:val="006045F2"/>
    <w:rsid w:val="00604697"/>
    <w:rsid w:val="00604C3E"/>
    <w:rsid w:val="0060594E"/>
    <w:rsid w:val="00606385"/>
    <w:rsid w:val="00607598"/>
    <w:rsid w:val="00614E88"/>
    <w:rsid w:val="006154EC"/>
    <w:rsid w:val="00617855"/>
    <w:rsid w:val="006204D2"/>
    <w:rsid w:val="00621F07"/>
    <w:rsid w:val="00623A13"/>
    <w:rsid w:val="00623CF6"/>
    <w:rsid w:val="006245D7"/>
    <w:rsid w:val="00625293"/>
    <w:rsid w:val="00625678"/>
    <w:rsid w:val="006313C3"/>
    <w:rsid w:val="00632311"/>
    <w:rsid w:val="00632936"/>
    <w:rsid w:val="006330EB"/>
    <w:rsid w:val="00633C7B"/>
    <w:rsid w:val="00633E15"/>
    <w:rsid w:val="0063535A"/>
    <w:rsid w:val="00635CA8"/>
    <w:rsid w:val="00635F79"/>
    <w:rsid w:val="0063619B"/>
    <w:rsid w:val="00636263"/>
    <w:rsid w:val="0063677C"/>
    <w:rsid w:val="0063773D"/>
    <w:rsid w:val="00643052"/>
    <w:rsid w:val="00644299"/>
    <w:rsid w:val="00646251"/>
    <w:rsid w:val="006506E1"/>
    <w:rsid w:val="00650745"/>
    <w:rsid w:val="006514E3"/>
    <w:rsid w:val="00652AEC"/>
    <w:rsid w:val="00654821"/>
    <w:rsid w:val="006554B2"/>
    <w:rsid w:val="006561D5"/>
    <w:rsid w:val="0065628B"/>
    <w:rsid w:val="0065644D"/>
    <w:rsid w:val="0065740B"/>
    <w:rsid w:val="00657D53"/>
    <w:rsid w:val="0066042F"/>
    <w:rsid w:val="006609B2"/>
    <w:rsid w:val="00661CD4"/>
    <w:rsid w:val="006627FB"/>
    <w:rsid w:val="00664023"/>
    <w:rsid w:val="00665055"/>
    <w:rsid w:val="006651BA"/>
    <w:rsid w:val="00667F1D"/>
    <w:rsid w:val="00670D9F"/>
    <w:rsid w:val="00670F00"/>
    <w:rsid w:val="00670F01"/>
    <w:rsid w:val="00670FA4"/>
    <w:rsid w:val="00671B92"/>
    <w:rsid w:val="006737E2"/>
    <w:rsid w:val="00673B65"/>
    <w:rsid w:val="00673CC7"/>
    <w:rsid w:val="00674DE8"/>
    <w:rsid w:val="00683927"/>
    <w:rsid w:val="00684111"/>
    <w:rsid w:val="0068532B"/>
    <w:rsid w:val="0068543F"/>
    <w:rsid w:val="006858C0"/>
    <w:rsid w:val="00685C6E"/>
    <w:rsid w:val="00685CE5"/>
    <w:rsid w:val="006860BE"/>
    <w:rsid w:val="006868E5"/>
    <w:rsid w:val="00687833"/>
    <w:rsid w:val="00687942"/>
    <w:rsid w:val="00687CD7"/>
    <w:rsid w:val="00691C57"/>
    <w:rsid w:val="00692320"/>
    <w:rsid w:val="00692BD9"/>
    <w:rsid w:val="00692F66"/>
    <w:rsid w:val="006930DF"/>
    <w:rsid w:val="006935CD"/>
    <w:rsid w:val="00693A65"/>
    <w:rsid w:val="00693ADB"/>
    <w:rsid w:val="00693BC8"/>
    <w:rsid w:val="00694255"/>
    <w:rsid w:val="00694884"/>
    <w:rsid w:val="00695D5F"/>
    <w:rsid w:val="006A064C"/>
    <w:rsid w:val="006A0D43"/>
    <w:rsid w:val="006A204B"/>
    <w:rsid w:val="006A4DF3"/>
    <w:rsid w:val="006A6126"/>
    <w:rsid w:val="006A6226"/>
    <w:rsid w:val="006B2128"/>
    <w:rsid w:val="006B33B9"/>
    <w:rsid w:val="006B48FA"/>
    <w:rsid w:val="006B4CFB"/>
    <w:rsid w:val="006B5473"/>
    <w:rsid w:val="006C1BB9"/>
    <w:rsid w:val="006C1C36"/>
    <w:rsid w:val="006C1DF1"/>
    <w:rsid w:val="006C2914"/>
    <w:rsid w:val="006C294B"/>
    <w:rsid w:val="006C4336"/>
    <w:rsid w:val="006C4703"/>
    <w:rsid w:val="006C47EA"/>
    <w:rsid w:val="006C4E11"/>
    <w:rsid w:val="006C6783"/>
    <w:rsid w:val="006C6ADC"/>
    <w:rsid w:val="006C70DB"/>
    <w:rsid w:val="006C7339"/>
    <w:rsid w:val="006C7880"/>
    <w:rsid w:val="006D1408"/>
    <w:rsid w:val="006D1B1A"/>
    <w:rsid w:val="006D294F"/>
    <w:rsid w:val="006D2982"/>
    <w:rsid w:val="006D3564"/>
    <w:rsid w:val="006D3747"/>
    <w:rsid w:val="006D37CE"/>
    <w:rsid w:val="006D4093"/>
    <w:rsid w:val="006D46F8"/>
    <w:rsid w:val="006D5839"/>
    <w:rsid w:val="006D645B"/>
    <w:rsid w:val="006D73DF"/>
    <w:rsid w:val="006E07C4"/>
    <w:rsid w:val="006E2693"/>
    <w:rsid w:val="006E35C5"/>
    <w:rsid w:val="006E46DE"/>
    <w:rsid w:val="006E47B4"/>
    <w:rsid w:val="006E51B8"/>
    <w:rsid w:val="006E5E6A"/>
    <w:rsid w:val="006E73B9"/>
    <w:rsid w:val="006F07A6"/>
    <w:rsid w:val="006F0B9C"/>
    <w:rsid w:val="006F0E3F"/>
    <w:rsid w:val="006F1537"/>
    <w:rsid w:val="006F2262"/>
    <w:rsid w:val="006F3034"/>
    <w:rsid w:val="006F43B3"/>
    <w:rsid w:val="006F44BB"/>
    <w:rsid w:val="006F4B9D"/>
    <w:rsid w:val="006F567D"/>
    <w:rsid w:val="006F7FEA"/>
    <w:rsid w:val="00700BEB"/>
    <w:rsid w:val="00702CB9"/>
    <w:rsid w:val="00703914"/>
    <w:rsid w:val="00704FE8"/>
    <w:rsid w:val="0070609C"/>
    <w:rsid w:val="00706205"/>
    <w:rsid w:val="00706CB5"/>
    <w:rsid w:val="00707762"/>
    <w:rsid w:val="00707B70"/>
    <w:rsid w:val="00711B9C"/>
    <w:rsid w:val="00711FB0"/>
    <w:rsid w:val="007126BC"/>
    <w:rsid w:val="007131BF"/>
    <w:rsid w:val="0071347A"/>
    <w:rsid w:val="00713596"/>
    <w:rsid w:val="00713B53"/>
    <w:rsid w:val="00714424"/>
    <w:rsid w:val="00714758"/>
    <w:rsid w:val="00714EDB"/>
    <w:rsid w:val="00715886"/>
    <w:rsid w:val="00716B5F"/>
    <w:rsid w:val="0072116B"/>
    <w:rsid w:val="00721D6A"/>
    <w:rsid w:val="00723D0D"/>
    <w:rsid w:val="00724266"/>
    <w:rsid w:val="00724A81"/>
    <w:rsid w:val="007250E4"/>
    <w:rsid w:val="00725D14"/>
    <w:rsid w:val="007265CB"/>
    <w:rsid w:val="00726699"/>
    <w:rsid w:val="007270A1"/>
    <w:rsid w:val="0073029C"/>
    <w:rsid w:val="0073329A"/>
    <w:rsid w:val="007350FE"/>
    <w:rsid w:val="00736333"/>
    <w:rsid w:val="007402B6"/>
    <w:rsid w:val="0074041F"/>
    <w:rsid w:val="00740AC8"/>
    <w:rsid w:val="0074278E"/>
    <w:rsid w:val="00742F9E"/>
    <w:rsid w:val="00743624"/>
    <w:rsid w:val="00744995"/>
    <w:rsid w:val="00746F1B"/>
    <w:rsid w:val="00747306"/>
    <w:rsid w:val="007479E7"/>
    <w:rsid w:val="00751FB2"/>
    <w:rsid w:val="0075367A"/>
    <w:rsid w:val="00753BF2"/>
    <w:rsid w:val="0075467D"/>
    <w:rsid w:val="00754885"/>
    <w:rsid w:val="007548DF"/>
    <w:rsid w:val="0075551A"/>
    <w:rsid w:val="00760011"/>
    <w:rsid w:val="00760188"/>
    <w:rsid w:val="00761DC2"/>
    <w:rsid w:val="00762F06"/>
    <w:rsid w:val="00763BFD"/>
    <w:rsid w:val="00764050"/>
    <w:rsid w:val="00764417"/>
    <w:rsid w:val="0076482F"/>
    <w:rsid w:val="00764C7D"/>
    <w:rsid w:val="00764E8C"/>
    <w:rsid w:val="007661AD"/>
    <w:rsid w:val="007670B0"/>
    <w:rsid w:val="00767F7E"/>
    <w:rsid w:val="007708BE"/>
    <w:rsid w:val="00770A66"/>
    <w:rsid w:val="007714B9"/>
    <w:rsid w:val="00771A9A"/>
    <w:rsid w:val="0077220E"/>
    <w:rsid w:val="00772CAB"/>
    <w:rsid w:val="00773796"/>
    <w:rsid w:val="00773AB1"/>
    <w:rsid w:val="00773DCE"/>
    <w:rsid w:val="007745DE"/>
    <w:rsid w:val="00774C16"/>
    <w:rsid w:val="00776C5A"/>
    <w:rsid w:val="00780C81"/>
    <w:rsid w:val="00781ECE"/>
    <w:rsid w:val="007826FD"/>
    <w:rsid w:val="007827A6"/>
    <w:rsid w:val="00784FE8"/>
    <w:rsid w:val="007866D6"/>
    <w:rsid w:val="00786855"/>
    <w:rsid w:val="00787BA5"/>
    <w:rsid w:val="00791B98"/>
    <w:rsid w:val="00792232"/>
    <w:rsid w:val="00797FC1"/>
    <w:rsid w:val="007A0FCA"/>
    <w:rsid w:val="007A1852"/>
    <w:rsid w:val="007A291D"/>
    <w:rsid w:val="007A2D6A"/>
    <w:rsid w:val="007A3167"/>
    <w:rsid w:val="007A3F77"/>
    <w:rsid w:val="007A4233"/>
    <w:rsid w:val="007A544B"/>
    <w:rsid w:val="007A6F81"/>
    <w:rsid w:val="007A7988"/>
    <w:rsid w:val="007B00E8"/>
    <w:rsid w:val="007B07A3"/>
    <w:rsid w:val="007B0EFB"/>
    <w:rsid w:val="007B147A"/>
    <w:rsid w:val="007B14EB"/>
    <w:rsid w:val="007B2189"/>
    <w:rsid w:val="007B43FD"/>
    <w:rsid w:val="007B4B15"/>
    <w:rsid w:val="007B5A8D"/>
    <w:rsid w:val="007B644C"/>
    <w:rsid w:val="007B7422"/>
    <w:rsid w:val="007C0360"/>
    <w:rsid w:val="007C1443"/>
    <w:rsid w:val="007C16A9"/>
    <w:rsid w:val="007C2EEA"/>
    <w:rsid w:val="007C5AEB"/>
    <w:rsid w:val="007D088B"/>
    <w:rsid w:val="007D2FD7"/>
    <w:rsid w:val="007D3201"/>
    <w:rsid w:val="007D328A"/>
    <w:rsid w:val="007D3307"/>
    <w:rsid w:val="007D3681"/>
    <w:rsid w:val="007D5891"/>
    <w:rsid w:val="007D5E7C"/>
    <w:rsid w:val="007D62C0"/>
    <w:rsid w:val="007D6B27"/>
    <w:rsid w:val="007E0216"/>
    <w:rsid w:val="007E0F97"/>
    <w:rsid w:val="007E0FE1"/>
    <w:rsid w:val="007E1903"/>
    <w:rsid w:val="007E1A00"/>
    <w:rsid w:val="007E1C81"/>
    <w:rsid w:val="007E2CD5"/>
    <w:rsid w:val="007E3B83"/>
    <w:rsid w:val="007E5F3B"/>
    <w:rsid w:val="007E6889"/>
    <w:rsid w:val="007F2051"/>
    <w:rsid w:val="007F2771"/>
    <w:rsid w:val="007F28BC"/>
    <w:rsid w:val="007F5161"/>
    <w:rsid w:val="007F5F45"/>
    <w:rsid w:val="007F7249"/>
    <w:rsid w:val="008026FD"/>
    <w:rsid w:val="008043F1"/>
    <w:rsid w:val="0080520F"/>
    <w:rsid w:val="00805D37"/>
    <w:rsid w:val="00805DB9"/>
    <w:rsid w:val="008060F9"/>
    <w:rsid w:val="00812AC5"/>
    <w:rsid w:val="008139B4"/>
    <w:rsid w:val="00813E14"/>
    <w:rsid w:val="00813E26"/>
    <w:rsid w:val="0081431A"/>
    <w:rsid w:val="008143F5"/>
    <w:rsid w:val="008200C7"/>
    <w:rsid w:val="008205E6"/>
    <w:rsid w:val="00820A23"/>
    <w:rsid w:val="008211C4"/>
    <w:rsid w:val="00821FD9"/>
    <w:rsid w:val="00822287"/>
    <w:rsid w:val="00822418"/>
    <w:rsid w:val="00822503"/>
    <w:rsid w:val="00822DCF"/>
    <w:rsid w:val="00823009"/>
    <w:rsid w:val="0082375E"/>
    <w:rsid w:val="00824529"/>
    <w:rsid w:val="00825B1B"/>
    <w:rsid w:val="00831438"/>
    <w:rsid w:val="00831553"/>
    <w:rsid w:val="00832CD9"/>
    <w:rsid w:val="008330DB"/>
    <w:rsid w:val="00833FF0"/>
    <w:rsid w:val="00834F5A"/>
    <w:rsid w:val="008358C3"/>
    <w:rsid w:val="00835B18"/>
    <w:rsid w:val="0083708E"/>
    <w:rsid w:val="00837838"/>
    <w:rsid w:val="00840652"/>
    <w:rsid w:val="00840CD5"/>
    <w:rsid w:val="0084275B"/>
    <w:rsid w:val="008446D5"/>
    <w:rsid w:val="00844C81"/>
    <w:rsid w:val="0084651F"/>
    <w:rsid w:val="00846FB7"/>
    <w:rsid w:val="00850003"/>
    <w:rsid w:val="008505B6"/>
    <w:rsid w:val="008514A7"/>
    <w:rsid w:val="0085159D"/>
    <w:rsid w:val="00852718"/>
    <w:rsid w:val="00852D2E"/>
    <w:rsid w:val="00854A00"/>
    <w:rsid w:val="00854F04"/>
    <w:rsid w:val="00855054"/>
    <w:rsid w:val="00855B28"/>
    <w:rsid w:val="00855DB0"/>
    <w:rsid w:val="0085738C"/>
    <w:rsid w:val="0085773A"/>
    <w:rsid w:val="0085783F"/>
    <w:rsid w:val="00860960"/>
    <w:rsid w:val="00861FB7"/>
    <w:rsid w:val="00862C3F"/>
    <w:rsid w:val="00865AEF"/>
    <w:rsid w:val="00866F4D"/>
    <w:rsid w:val="00871B77"/>
    <w:rsid w:val="00871DE1"/>
    <w:rsid w:val="008721FA"/>
    <w:rsid w:val="00872E38"/>
    <w:rsid w:val="0087582D"/>
    <w:rsid w:val="00875E86"/>
    <w:rsid w:val="00876054"/>
    <w:rsid w:val="008762BB"/>
    <w:rsid w:val="0087719B"/>
    <w:rsid w:val="00886238"/>
    <w:rsid w:val="0088706F"/>
    <w:rsid w:val="008875B4"/>
    <w:rsid w:val="00887F4B"/>
    <w:rsid w:val="008905B3"/>
    <w:rsid w:val="00891867"/>
    <w:rsid w:val="00894735"/>
    <w:rsid w:val="00896028"/>
    <w:rsid w:val="00896E31"/>
    <w:rsid w:val="00897C98"/>
    <w:rsid w:val="008A0767"/>
    <w:rsid w:val="008A0785"/>
    <w:rsid w:val="008A3794"/>
    <w:rsid w:val="008A40F2"/>
    <w:rsid w:val="008A4603"/>
    <w:rsid w:val="008A6D99"/>
    <w:rsid w:val="008A6E59"/>
    <w:rsid w:val="008A6F42"/>
    <w:rsid w:val="008A7E61"/>
    <w:rsid w:val="008B03D8"/>
    <w:rsid w:val="008B3C88"/>
    <w:rsid w:val="008B48D8"/>
    <w:rsid w:val="008B4C33"/>
    <w:rsid w:val="008B4FC4"/>
    <w:rsid w:val="008B566E"/>
    <w:rsid w:val="008B5A6B"/>
    <w:rsid w:val="008B6014"/>
    <w:rsid w:val="008B7BB9"/>
    <w:rsid w:val="008C0951"/>
    <w:rsid w:val="008C21DD"/>
    <w:rsid w:val="008C3BEC"/>
    <w:rsid w:val="008C5926"/>
    <w:rsid w:val="008C6585"/>
    <w:rsid w:val="008C678C"/>
    <w:rsid w:val="008D1310"/>
    <w:rsid w:val="008D1CA1"/>
    <w:rsid w:val="008D252C"/>
    <w:rsid w:val="008D3013"/>
    <w:rsid w:val="008D312F"/>
    <w:rsid w:val="008D3D1F"/>
    <w:rsid w:val="008D4E76"/>
    <w:rsid w:val="008D4EB1"/>
    <w:rsid w:val="008D5B93"/>
    <w:rsid w:val="008D7276"/>
    <w:rsid w:val="008E38E1"/>
    <w:rsid w:val="008E39AC"/>
    <w:rsid w:val="008E5863"/>
    <w:rsid w:val="008E5B85"/>
    <w:rsid w:val="008E71D2"/>
    <w:rsid w:val="008E7486"/>
    <w:rsid w:val="008E7F41"/>
    <w:rsid w:val="008F060F"/>
    <w:rsid w:val="008F0D70"/>
    <w:rsid w:val="008F1DFC"/>
    <w:rsid w:val="008F1EFE"/>
    <w:rsid w:val="008F343C"/>
    <w:rsid w:val="008F5448"/>
    <w:rsid w:val="008F6995"/>
    <w:rsid w:val="008F6A54"/>
    <w:rsid w:val="008F7518"/>
    <w:rsid w:val="008F76E7"/>
    <w:rsid w:val="008F7EDB"/>
    <w:rsid w:val="00900E99"/>
    <w:rsid w:val="00902172"/>
    <w:rsid w:val="009034BD"/>
    <w:rsid w:val="00903DD4"/>
    <w:rsid w:val="00903F80"/>
    <w:rsid w:val="00906090"/>
    <w:rsid w:val="009070A3"/>
    <w:rsid w:val="0090778B"/>
    <w:rsid w:val="00907D7B"/>
    <w:rsid w:val="00911439"/>
    <w:rsid w:val="00911AB2"/>
    <w:rsid w:val="00913C42"/>
    <w:rsid w:val="00914920"/>
    <w:rsid w:val="00914B79"/>
    <w:rsid w:val="0091654A"/>
    <w:rsid w:val="009165B4"/>
    <w:rsid w:val="00917015"/>
    <w:rsid w:val="00921604"/>
    <w:rsid w:val="00921D10"/>
    <w:rsid w:val="00921D22"/>
    <w:rsid w:val="00922237"/>
    <w:rsid w:val="009225F6"/>
    <w:rsid w:val="00922934"/>
    <w:rsid w:val="00924134"/>
    <w:rsid w:val="00924A27"/>
    <w:rsid w:val="009265B0"/>
    <w:rsid w:val="00927861"/>
    <w:rsid w:val="009301C6"/>
    <w:rsid w:val="00930412"/>
    <w:rsid w:val="00932BBD"/>
    <w:rsid w:val="00932F81"/>
    <w:rsid w:val="0093333A"/>
    <w:rsid w:val="009345A2"/>
    <w:rsid w:val="00934DC0"/>
    <w:rsid w:val="0093606F"/>
    <w:rsid w:val="00936943"/>
    <w:rsid w:val="00936CB7"/>
    <w:rsid w:val="00936F2B"/>
    <w:rsid w:val="00942A5A"/>
    <w:rsid w:val="009450EE"/>
    <w:rsid w:val="009459BB"/>
    <w:rsid w:val="009461F1"/>
    <w:rsid w:val="00946E11"/>
    <w:rsid w:val="00947C75"/>
    <w:rsid w:val="00950330"/>
    <w:rsid w:val="00950AFA"/>
    <w:rsid w:val="00951B24"/>
    <w:rsid w:val="00953604"/>
    <w:rsid w:val="009539C2"/>
    <w:rsid w:val="009551A1"/>
    <w:rsid w:val="00955B34"/>
    <w:rsid w:val="00957413"/>
    <w:rsid w:val="009578DA"/>
    <w:rsid w:val="00960FD8"/>
    <w:rsid w:val="00963348"/>
    <w:rsid w:val="009634E0"/>
    <w:rsid w:val="009639A0"/>
    <w:rsid w:val="0096520E"/>
    <w:rsid w:val="00966EF3"/>
    <w:rsid w:val="0096766B"/>
    <w:rsid w:val="00971BF4"/>
    <w:rsid w:val="00973055"/>
    <w:rsid w:val="009730B6"/>
    <w:rsid w:val="00974019"/>
    <w:rsid w:val="00975D87"/>
    <w:rsid w:val="00977100"/>
    <w:rsid w:val="00977773"/>
    <w:rsid w:val="00980784"/>
    <w:rsid w:val="009813A1"/>
    <w:rsid w:val="00981A7C"/>
    <w:rsid w:val="0098200C"/>
    <w:rsid w:val="009823D2"/>
    <w:rsid w:val="00984D38"/>
    <w:rsid w:val="00984E3D"/>
    <w:rsid w:val="00984F6E"/>
    <w:rsid w:val="00985327"/>
    <w:rsid w:val="009854B4"/>
    <w:rsid w:val="00985780"/>
    <w:rsid w:val="009866EF"/>
    <w:rsid w:val="009879C6"/>
    <w:rsid w:val="009900CD"/>
    <w:rsid w:val="00992286"/>
    <w:rsid w:val="009930D2"/>
    <w:rsid w:val="00993CA5"/>
    <w:rsid w:val="009957C3"/>
    <w:rsid w:val="0099775A"/>
    <w:rsid w:val="00997B0B"/>
    <w:rsid w:val="00997C4A"/>
    <w:rsid w:val="009A00C6"/>
    <w:rsid w:val="009A1D2B"/>
    <w:rsid w:val="009A22EB"/>
    <w:rsid w:val="009A4625"/>
    <w:rsid w:val="009A600B"/>
    <w:rsid w:val="009A6F20"/>
    <w:rsid w:val="009A7D20"/>
    <w:rsid w:val="009B007F"/>
    <w:rsid w:val="009B2D0F"/>
    <w:rsid w:val="009B7D8D"/>
    <w:rsid w:val="009C0B57"/>
    <w:rsid w:val="009C19D4"/>
    <w:rsid w:val="009C1E71"/>
    <w:rsid w:val="009C2BAC"/>
    <w:rsid w:val="009C5B86"/>
    <w:rsid w:val="009C5FE7"/>
    <w:rsid w:val="009C6502"/>
    <w:rsid w:val="009C78E4"/>
    <w:rsid w:val="009D0011"/>
    <w:rsid w:val="009D0A5D"/>
    <w:rsid w:val="009D193F"/>
    <w:rsid w:val="009D1ABC"/>
    <w:rsid w:val="009D233B"/>
    <w:rsid w:val="009D71D4"/>
    <w:rsid w:val="009D7DB7"/>
    <w:rsid w:val="009E0572"/>
    <w:rsid w:val="009E18D5"/>
    <w:rsid w:val="009E23B2"/>
    <w:rsid w:val="009E493D"/>
    <w:rsid w:val="009E4C9B"/>
    <w:rsid w:val="009E594B"/>
    <w:rsid w:val="009F12C1"/>
    <w:rsid w:val="009F15B5"/>
    <w:rsid w:val="009F1631"/>
    <w:rsid w:val="009F2206"/>
    <w:rsid w:val="009F2B71"/>
    <w:rsid w:val="009F2B82"/>
    <w:rsid w:val="009F398F"/>
    <w:rsid w:val="009F4A7E"/>
    <w:rsid w:val="009F4C53"/>
    <w:rsid w:val="009F5314"/>
    <w:rsid w:val="009F54D1"/>
    <w:rsid w:val="009F67CB"/>
    <w:rsid w:val="009F68E4"/>
    <w:rsid w:val="009F797F"/>
    <w:rsid w:val="00A002A9"/>
    <w:rsid w:val="00A005A9"/>
    <w:rsid w:val="00A01DBF"/>
    <w:rsid w:val="00A022B0"/>
    <w:rsid w:val="00A03E41"/>
    <w:rsid w:val="00A0491F"/>
    <w:rsid w:val="00A06E84"/>
    <w:rsid w:val="00A07ADE"/>
    <w:rsid w:val="00A1106E"/>
    <w:rsid w:val="00A11AF4"/>
    <w:rsid w:val="00A16957"/>
    <w:rsid w:val="00A20C36"/>
    <w:rsid w:val="00A230D3"/>
    <w:rsid w:val="00A23B93"/>
    <w:rsid w:val="00A24B5F"/>
    <w:rsid w:val="00A25B21"/>
    <w:rsid w:val="00A25C85"/>
    <w:rsid w:val="00A25E91"/>
    <w:rsid w:val="00A25F74"/>
    <w:rsid w:val="00A263A9"/>
    <w:rsid w:val="00A26FFB"/>
    <w:rsid w:val="00A32EAB"/>
    <w:rsid w:val="00A3411E"/>
    <w:rsid w:val="00A35D8A"/>
    <w:rsid w:val="00A36327"/>
    <w:rsid w:val="00A37BA1"/>
    <w:rsid w:val="00A413A5"/>
    <w:rsid w:val="00A41F11"/>
    <w:rsid w:val="00A41F74"/>
    <w:rsid w:val="00A423C4"/>
    <w:rsid w:val="00A4299F"/>
    <w:rsid w:val="00A43FDB"/>
    <w:rsid w:val="00A44AC8"/>
    <w:rsid w:val="00A4640E"/>
    <w:rsid w:val="00A47F45"/>
    <w:rsid w:val="00A512AD"/>
    <w:rsid w:val="00A5197F"/>
    <w:rsid w:val="00A5511F"/>
    <w:rsid w:val="00A56A8F"/>
    <w:rsid w:val="00A56FC5"/>
    <w:rsid w:val="00A631A4"/>
    <w:rsid w:val="00A63A55"/>
    <w:rsid w:val="00A66EF3"/>
    <w:rsid w:val="00A70A80"/>
    <w:rsid w:val="00A73049"/>
    <w:rsid w:val="00A73E69"/>
    <w:rsid w:val="00A73F9C"/>
    <w:rsid w:val="00A75CAB"/>
    <w:rsid w:val="00A75EDB"/>
    <w:rsid w:val="00A829DE"/>
    <w:rsid w:val="00A83225"/>
    <w:rsid w:val="00A832B9"/>
    <w:rsid w:val="00A83342"/>
    <w:rsid w:val="00A83871"/>
    <w:rsid w:val="00A83EAF"/>
    <w:rsid w:val="00A84062"/>
    <w:rsid w:val="00A848EC"/>
    <w:rsid w:val="00A86D54"/>
    <w:rsid w:val="00A9046D"/>
    <w:rsid w:val="00A9084B"/>
    <w:rsid w:val="00A915FC"/>
    <w:rsid w:val="00A92107"/>
    <w:rsid w:val="00A92621"/>
    <w:rsid w:val="00A92808"/>
    <w:rsid w:val="00A93A40"/>
    <w:rsid w:val="00A93AAC"/>
    <w:rsid w:val="00A93C0F"/>
    <w:rsid w:val="00A94DA4"/>
    <w:rsid w:val="00A959AD"/>
    <w:rsid w:val="00A95DF9"/>
    <w:rsid w:val="00A9603A"/>
    <w:rsid w:val="00A9661B"/>
    <w:rsid w:val="00A96834"/>
    <w:rsid w:val="00A97E43"/>
    <w:rsid w:val="00AA08CF"/>
    <w:rsid w:val="00AA0907"/>
    <w:rsid w:val="00AA121D"/>
    <w:rsid w:val="00AA5A80"/>
    <w:rsid w:val="00AA6E5B"/>
    <w:rsid w:val="00AB0380"/>
    <w:rsid w:val="00AB0BDF"/>
    <w:rsid w:val="00AB15F3"/>
    <w:rsid w:val="00AB1E96"/>
    <w:rsid w:val="00AB30CA"/>
    <w:rsid w:val="00AB359E"/>
    <w:rsid w:val="00AB481F"/>
    <w:rsid w:val="00AB4827"/>
    <w:rsid w:val="00AB4916"/>
    <w:rsid w:val="00AB56FF"/>
    <w:rsid w:val="00AB5C70"/>
    <w:rsid w:val="00AB7B4D"/>
    <w:rsid w:val="00AC0CA3"/>
    <w:rsid w:val="00AC0E41"/>
    <w:rsid w:val="00AC2B36"/>
    <w:rsid w:val="00AC36F0"/>
    <w:rsid w:val="00AC4D89"/>
    <w:rsid w:val="00AC59CD"/>
    <w:rsid w:val="00AC7397"/>
    <w:rsid w:val="00AD0A68"/>
    <w:rsid w:val="00AD1C2C"/>
    <w:rsid w:val="00AD1C6C"/>
    <w:rsid w:val="00AD2945"/>
    <w:rsid w:val="00AD3B1B"/>
    <w:rsid w:val="00AD40EA"/>
    <w:rsid w:val="00AD5C53"/>
    <w:rsid w:val="00AD5E1F"/>
    <w:rsid w:val="00AD635C"/>
    <w:rsid w:val="00AD6975"/>
    <w:rsid w:val="00AD6B75"/>
    <w:rsid w:val="00AD6F03"/>
    <w:rsid w:val="00AE24B4"/>
    <w:rsid w:val="00AE2C45"/>
    <w:rsid w:val="00AE2CA7"/>
    <w:rsid w:val="00AE424E"/>
    <w:rsid w:val="00AE46F7"/>
    <w:rsid w:val="00AE4797"/>
    <w:rsid w:val="00AE4ABF"/>
    <w:rsid w:val="00AE4DF1"/>
    <w:rsid w:val="00AE5B49"/>
    <w:rsid w:val="00AE60E3"/>
    <w:rsid w:val="00AF0643"/>
    <w:rsid w:val="00AF1805"/>
    <w:rsid w:val="00AF28FE"/>
    <w:rsid w:val="00AF3C2A"/>
    <w:rsid w:val="00AF5652"/>
    <w:rsid w:val="00AF63B8"/>
    <w:rsid w:val="00AF68F0"/>
    <w:rsid w:val="00B000BB"/>
    <w:rsid w:val="00B00579"/>
    <w:rsid w:val="00B00D7B"/>
    <w:rsid w:val="00B022D5"/>
    <w:rsid w:val="00B02DB3"/>
    <w:rsid w:val="00B03B5E"/>
    <w:rsid w:val="00B04157"/>
    <w:rsid w:val="00B0441A"/>
    <w:rsid w:val="00B064CD"/>
    <w:rsid w:val="00B07EB6"/>
    <w:rsid w:val="00B11681"/>
    <w:rsid w:val="00B11BD2"/>
    <w:rsid w:val="00B11ECD"/>
    <w:rsid w:val="00B13C34"/>
    <w:rsid w:val="00B14AB6"/>
    <w:rsid w:val="00B14B6D"/>
    <w:rsid w:val="00B15BD5"/>
    <w:rsid w:val="00B162E6"/>
    <w:rsid w:val="00B17E08"/>
    <w:rsid w:val="00B20154"/>
    <w:rsid w:val="00B21172"/>
    <w:rsid w:val="00B23FBC"/>
    <w:rsid w:val="00B27429"/>
    <w:rsid w:val="00B27460"/>
    <w:rsid w:val="00B30134"/>
    <w:rsid w:val="00B30635"/>
    <w:rsid w:val="00B31206"/>
    <w:rsid w:val="00B31A67"/>
    <w:rsid w:val="00B32537"/>
    <w:rsid w:val="00B33790"/>
    <w:rsid w:val="00B3502A"/>
    <w:rsid w:val="00B36014"/>
    <w:rsid w:val="00B3685D"/>
    <w:rsid w:val="00B36CF6"/>
    <w:rsid w:val="00B37169"/>
    <w:rsid w:val="00B372F6"/>
    <w:rsid w:val="00B37660"/>
    <w:rsid w:val="00B37754"/>
    <w:rsid w:val="00B40055"/>
    <w:rsid w:val="00B40439"/>
    <w:rsid w:val="00B411EC"/>
    <w:rsid w:val="00B413DD"/>
    <w:rsid w:val="00B41D34"/>
    <w:rsid w:val="00B42DA1"/>
    <w:rsid w:val="00B435E8"/>
    <w:rsid w:val="00B45087"/>
    <w:rsid w:val="00B46681"/>
    <w:rsid w:val="00B504BD"/>
    <w:rsid w:val="00B509F9"/>
    <w:rsid w:val="00B50BD1"/>
    <w:rsid w:val="00B54B4D"/>
    <w:rsid w:val="00B56B4F"/>
    <w:rsid w:val="00B57C5F"/>
    <w:rsid w:val="00B60674"/>
    <w:rsid w:val="00B61588"/>
    <w:rsid w:val="00B62223"/>
    <w:rsid w:val="00B622C6"/>
    <w:rsid w:val="00B65983"/>
    <w:rsid w:val="00B66B8A"/>
    <w:rsid w:val="00B66DDB"/>
    <w:rsid w:val="00B720ED"/>
    <w:rsid w:val="00B73CA1"/>
    <w:rsid w:val="00B74FAA"/>
    <w:rsid w:val="00B7595E"/>
    <w:rsid w:val="00B75F6A"/>
    <w:rsid w:val="00B76CDF"/>
    <w:rsid w:val="00B8094F"/>
    <w:rsid w:val="00B82CEF"/>
    <w:rsid w:val="00B83A8E"/>
    <w:rsid w:val="00B84B7A"/>
    <w:rsid w:val="00B86D3F"/>
    <w:rsid w:val="00B923CF"/>
    <w:rsid w:val="00B92724"/>
    <w:rsid w:val="00B929BF"/>
    <w:rsid w:val="00B935EE"/>
    <w:rsid w:val="00B940B2"/>
    <w:rsid w:val="00B945CF"/>
    <w:rsid w:val="00B94B3A"/>
    <w:rsid w:val="00B953CB"/>
    <w:rsid w:val="00B962C7"/>
    <w:rsid w:val="00B96670"/>
    <w:rsid w:val="00B978ED"/>
    <w:rsid w:val="00BA1637"/>
    <w:rsid w:val="00BA1831"/>
    <w:rsid w:val="00BA1FED"/>
    <w:rsid w:val="00BA201B"/>
    <w:rsid w:val="00BA2C92"/>
    <w:rsid w:val="00BA3183"/>
    <w:rsid w:val="00BA39FF"/>
    <w:rsid w:val="00BA5300"/>
    <w:rsid w:val="00BA6540"/>
    <w:rsid w:val="00BB08E1"/>
    <w:rsid w:val="00BB193F"/>
    <w:rsid w:val="00BB2850"/>
    <w:rsid w:val="00BB5387"/>
    <w:rsid w:val="00BB5D49"/>
    <w:rsid w:val="00BB7569"/>
    <w:rsid w:val="00BC03A7"/>
    <w:rsid w:val="00BC3608"/>
    <w:rsid w:val="00BC3B48"/>
    <w:rsid w:val="00BC44DA"/>
    <w:rsid w:val="00BC4E37"/>
    <w:rsid w:val="00BC5BF5"/>
    <w:rsid w:val="00BC5D91"/>
    <w:rsid w:val="00BC703F"/>
    <w:rsid w:val="00BC70B2"/>
    <w:rsid w:val="00BC71A3"/>
    <w:rsid w:val="00BD18F0"/>
    <w:rsid w:val="00BD2062"/>
    <w:rsid w:val="00BD48D3"/>
    <w:rsid w:val="00BD4D17"/>
    <w:rsid w:val="00BD6082"/>
    <w:rsid w:val="00BD677C"/>
    <w:rsid w:val="00BD6885"/>
    <w:rsid w:val="00BE1667"/>
    <w:rsid w:val="00BE1707"/>
    <w:rsid w:val="00BE1897"/>
    <w:rsid w:val="00BE21D4"/>
    <w:rsid w:val="00BE24C7"/>
    <w:rsid w:val="00BE29E7"/>
    <w:rsid w:val="00BE3196"/>
    <w:rsid w:val="00BE588D"/>
    <w:rsid w:val="00BE5B7D"/>
    <w:rsid w:val="00BE60BA"/>
    <w:rsid w:val="00BE75BA"/>
    <w:rsid w:val="00BE7A1C"/>
    <w:rsid w:val="00BF0C2C"/>
    <w:rsid w:val="00BF3142"/>
    <w:rsid w:val="00BF4E7A"/>
    <w:rsid w:val="00BF5812"/>
    <w:rsid w:val="00BF5CC1"/>
    <w:rsid w:val="00BF6F10"/>
    <w:rsid w:val="00C0140F"/>
    <w:rsid w:val="00C01769"/>
    <w:rsid w:val="00C0202B"/>
    <w:rsid w:val="00C0226A"/>
    <w:rsid w:val="00C05364"/>
    <w:rsid w:val="00C05713"/>
    <w:rsid w:val="00C05D29"/>
    <w:rsid w:val="00C0645B"/>
    <w:rsid w:val="00C12639"/>
    <w:rsid w:val="00C12B98"/>
    <w:rsid w:val="00C12FA3"/>
    <w:rsid w:val="00C13497"/>
    <w:rsid w:val="00C148A6"/>
    <w:rsid w:val="00C16096"/>
    <w:rsid w:val="00C17C15"/>
    <w:rsid w:val="00C208A0"/>
    <w:rsid w:val="00C210A6"/>
    <w:rsid w:val="00C229AD"/>
    <w:rsid w:val="00C248C5"/>
    <w:rsid w:val="00C249F6"/>
    <w:rsid w:val="00C24EE9"/>
    <w:rsid w:val="00C25EE3"/>
    <w:rsid w:val="00C30A6E"/>
    <w:rsid w:val="00C3237E"/>
    <w:rsid w:val="00C32543"/>
    <w:rsid w:val="00C33321"/>
    <w:rsid w:val="00C34A13"/>
    <w:rsid w:val="00C35215"/>
    <w:rsid w:val="00C357BC"/>
    <w:rsid w:val="00C35A4F"/>
    <w:rsid w:val="00C36DDD"/>
    <w:rsid w:val="00C37A31"/>
    <w:rsid w:val="00C40960"/>
    <w:rsid w:val="00C410B3"/>
    <w:rsid w:val="00C414D6"/>
    <w:rsid w:val="00C4318F"/>
    <w:rsid w:val="00C43282"/>
    <w:rsid w:val="00C43A0C"/>
    <w:rsid w:val="00C44780"/>
    <w:rsid w:val="00C44DE0"/>
    <w:rsid w:val="00C4524F"/>
    <w:rsid w:val="00C4628A"/>
    <w:rsid w:val="00C46C72"/>
    <w:rsid w:val="00C46D1C"/>
    <w:rsid w:val="00C46F01"/>
    <w:rsid w:val="00C46FEF"/>
    <w:rsid w:val="00C4725E"/>
    <w:rsid w:val="00C5024C"/>
    <w:rsid w:val="00C50B20"/>
    <w:rsid w:val="00C52BA2"/>
    <w:rsid w:val="00C5449F"/>
    <w:rsid w:val="00C56226"/>
    <w:rsid w:val="00C56A59"/>
    <w:rsid w:val="00C5753B"/>
    <w:rsid w:val="00C57E63"/>
    <w:rsid w:val="00C6071A"/>
    <w:rsid w:val="00C61681"/>
    <w:rsid w:val="00C65D27"/>
    <w:rsid w:val="00C66030"/>
    <w:rsid w:val="00C66EDD"/>
    <w:rsid w:val="00C670D5"/>
    <w:rsid w:val="00C70A91"/>
    <w:rsid w:val="00C714D0"/>
    <w:rsid w:val="00C72AA6"/>
    <w:rsid w:val="00C75126"/>
    <w:rsid w:val="00C75B52"/>
    <w:rsid w:val="00C76EB7"/>
    <w:rsid w:val="00C771D1"/>
    <w:rsid w:val="00C813A7"/>
    <w:rsid w:val="00C8280F"/>
    <w:rsid w:val="00C8391A"/>
    <w:rsid w:val="00C83A25"/>
    <w:rsid w:val="00C847BA"/>
    <w:rsid w:val="00C85727"/>
    <w:rsid w:val="00C85CD0"/>
    <w:rsid w:val="00C87279"/>
    <w:rsid w:val="00C878E1"/>
    <w:rsid w:val="00C903C2"/>
    <w:rsid w:val="00C909C2"/>
    <w:rsid w:val="00C91629"/>
    <w:rsid w:val="00C935E9"/>
    <w:rsid w:val="00C93AFD"/>
    <w:rsid w:val="00C94FE1"/>
    <w:rsid w:val="00C95382"/>
    <w:rsid w:val="00C971EA"/>
    <w:rsid w:val="00C974F8"/>
    <w:rsid w:val="00CA0F29"/>
    <w:rsid w:val="00CA3594"/>
    <w:rsid w:val="00CA39E4"/>
    <w:rsid w:val="00CA3C56"/>
    <w:rsid w:val="00CA6297"/>
    <w:rsid w:val="00CB049F"/>
    <w:rsid w:val="00CB0C5A"/>
    <w:rsid w:val="00CB25F0"/>
    <w:rsid w:val="00CB28F0"/>
    <w:rsid w:val="00CB4052"/>
    <w:rsid w:val="00CB59B5"/>
    <w:rsid w:val="00CB5AB6"/>
    <w:rsid w:val="00CB5F7A"/>
    <w:rsid w:val="00CB64A1"/>
    <w:rsid w:val="00CB65DD"/>
    <w:rsid w:val="00CC167A"/>
    <w:rsid w:val="00CC2D34"/>
    <w:rsid w:val="00CC3A24"/>
    <w:rsid w:val="00CC3B97"/>
    <w:rsid w:val="00CC5254"/>
    <w:rsid w:val="00CC5BFD"/>
    <w:rsid w:val="00CC6567"/>
    <w:rsid w:val="00CC71F7"/>
    <w:rsid w:val="00CC7FF0"/>
    <w:rsid w:val="00CD000D"/>
    <w:rsid w:val="00CD0290"/>
    <w:rsid w:val="00CD18AC"/>
    <w:rsid w:val="00CD1E65"/>
    <w:rsid w:val="00CD2718"/>
    <w:rsid w:val="00CD3E6E"/>
    <w:rsid w:val="00CD56D9"/>
    <w:rsid w:val="00CE2322"/>
    <w:rsid w:val="00CE49A0"/>
    <w:rsid w:val="00CE4BBA"/>
    <w:rsid w:val="00CE4DAE"/>
    <w:rsid w:val="00CE68A9"/>
    <w:rsid w:val="00CE69E2"/>
    <w:rsid w:val="00CE7096"/>
    <w:rsid w:val="00CE7993"/>
    <w:rsid w:val="00CF38CA"/>
    <w:rsid w:val="00CF395D"/>
    <w:rsid w:val="00CF3AAA"/>
    <w:rsid w:val="00CF4501"/>
    <w:rsid w:val="00CF4934"/>
    <w:rsid w:val="00CF4A00"/>
    <w:rsid w:val="00CF5F6D"/>
    <w:rsid w:val="00D0077C"/>
    <w:rsid w:val="00D01245"/>
    <w:rsid w:val="00D013B0"/>
    <w:rsid w:val="00D015A1"/>
    <w:rsid w:val="00D01ADF"/>
    <w:rsid w:val="00D02174"/>
    <w:rsid w:val="00D03D7C"/>
    <w:rsid w:val="00D03EC9"/>
    <w:rsid w:val="00D06526"/>
    <w:rsid w:val="00D10D0A"/>
    <w:rsid w:val="00D11732"/>
    <w:rsid w:val="00D11A7D"/>
    <w:rsid w:val="00D12856"/>
    <w:rsid w:val="00D15C36"/>
    <w:rsid w:val="00D1791D"/>
    <w:rsid w:val="00D23BE8"/>
    <w:rsid w:val="00D2569F"/>
    <w:rsid w:val="00D2593F"/>
    <w:rsid w:val="00D25F70"/>
    <w:rsid w:val="00D27394"/>
    <w:rsid w:val="00D27B2F"/>
    <w:rsid w:val="00D300A4"/>
    <w:rsid w:val="00D303A2"/>
    <w:rsid w:val="00D30C5D"/>
    <w:rsid w:val="00D34E1E"/>
    <w:rsid w:val="00D37AEE"/>
    <w:rsid w:val="00D412B0"/>
    <w:rsid w:val="00D42FBF"/>
    <w:rsid w:val="00D43977"/>
    <w:rsid w:val="00D440E4"/>
    <w:rsid w:val="00D4493D"/>
    <w:rsid w:val="00D52773"/>
    <w:rsid w:val="00D54186"/>
    <w:rsid w:val="00D5496F"/>
    <w:rsid w:val="00D54B95"/>
    <w:rsid w:val="00D55149"/>
    <w:rsid w:val="00D561EC"/>
    <w:rsid w:val="00D566F0"/>
    <w:rsid w:val="00D57552"/>
    <w:rsid w:val="00D601AC"/>
    <w:rsid w:val="00D60590"/>
    <w:rsid w:val="00D605E3"/>
    <w:rsid w:val="00D60B4E"/>
    <w:rsid w:val="00D61F93"/>
    <w:rsid w:val="00D6255B"/>
    <w:rsid w:val="00D62A4B"/>
    <w:rsid w:val="00D648EF"/>
    <w:rsid w:val="00D64BF0"/>
    <w:rsid w:val="00D65293"/>
    <w:rsid w:val="00D6619C"/>
    <w:rsid w:val="00D678B7"/>
    <w:rsid w:val="00D71458"/>
    <w:rsid w:val="00D715A9"/>
    <w:rsid w:val="00D72415"/>
    <w:rsid w:val="00D724C6"/>
    <w:rsid w:val="00D729CA"/>
    <w:rsid w:val="00D72D1D"/>
    <w:rsid w:val="00D730F4"/>
    <w:rsid w:val="00D76BD0"/>
    <w:rsid w:val="00D77717"/>
    <w:rsid w:val="00D8115C"/>
    <w:rsid w:val="00D81664"/>
    <w:rsid w:val="00D81B2D"/>
    <w:rsid w:val="00D8448B"/>
    <w:rsid w:val="00D8512B"/>
    <w:rsid w:val="00D85DA3"/>
    <w:rsid w:val="00D85EBF"/>
    <w:rsid w:val="00D85F63"/>
    <w:rsid w:val="00D86E78"/>
    <w:rsid w:val="00D86F5D"/>
    <w:rsid w:val="00D9203A"/>
    <w:rsid w:val="00D923F3"/>
    <w:rsid w:val="00D93DC3"/>
    <w:rsid w:val="00D9414B"/>
    <w:rsid w:val="00DA0F6A"/>
    <w:rsid w:val="00DA199C"/>
    <w:rsid w:val="00DA256A"/>
    <w:rsid w:val="00DA2E37"/>
    <w:rsid w:val="00DA452B"/>
    <w:rsid w:val="00DA5292"/>
    <w:rsid w:val="00DA76D5"/>
    <w:rsid w:val="00DB089D"/>
    <w:rsid w:val="00DB14F1"/>
    <w:rsid w:val="00DB3327"/>
    <w:rsid w:val="00DB3475"/>
    <w:rsid w:val="00DB4099"/>
    <w:rsid w:val="00DB4296"/>
    <w:rsid w:val="00DB441C"/>
    <w:rsid w:val="00DB46E6"/>
    <w:rsid w:val="00DB6B54"/>
    <w:rsid w:val="00DC0C2A"/>
    <w:rsid w:val="00DC1559"/>
    <w:rsid w:val="00DC26B9"/>
    <w:rsid w:val="00DC2A51"/>
    <w:rsid w:val="00DC372C"/>
    <w:rsid w:val="00DC39C5"/>
    <w:rsid w:val="00DC5989"/>
    <w:rsid w:val="00DC6E53"/>
    <w:rsid w:val="00DC7641"/>
    <w:rsid w:val="00DC790E"/>
    <w:rsid w:val="00DD4D0E"/>
    <w:rsid w:val="00DD51EC"/>
    <w:rsid w:val="00DE0153"/>
    <w:rsid w:val="00DE0326"/>
    <w:rsid w:val="00DE04F4"/>
    <w:rsid w:val="00DE0F9B"/>
    <w:rsid w:val="00DE1D62"/>
    <w:rsid w:val="00DE2EDE"/>
    <w:rsid w:val="00DE5424"/>
    <w:rsid w:val="00DE5722"/>
    <w:rsid w:val="00DE5B1B"/>
    <w:rsid w:val="00DE63E4"/>
    <w:rsid w:val="00DE7F42"/>
    <w:rsid w:val="00DF1677"/>
    <w:rsid w:val="00DF2B3B"/>
    <w:rsid w:val="00DF3735"/>
    <w:rsid w:val="00DF4BB3"/>
    <w:rsid w:val="00DF5FCB"/>
    <w:rsid w:val="00DF6231"/>
    <w:rsid w:val="00E02EFD"/>
    <w:rsid w:val="00E038F0"/>
    <w:rsid w:val="00E0531C"/>
    <w:rsid w:val="00E07DD8"/>
    <w:rsid w:val="00E1250A"/>
    <w:rsid w:val="00E14BC3"/>
    <w:rsid w:val="00E17D2D"/>
    <w:rsid w:val="00E2025C"/>
    <w:rsid w:val="00E203E5"/>
    <w:rsid w:val="00E21A0D"/>
    <w:rsid w:val="00E247B2"/>
    <w:rsid w:val="00E24C51"/>
    <w:rsid w:val="00E2500D"/>
    <w:rsid w:val="00E262D3"/>
    <w:rsid w:val="00E2654A"/>
    <w:rsid w:val="00E26D49"/>
    <w:rsid w:val="00E27053"/>
    <w:rsid w:val="00E31041"/>
    <w:rsid w:val="00E323DB"/>
    <w:rsid w:val="00E32478"/>
    <w:rsid w:val="00E33810"/>
    <w:rsid w:val="00E35634"/>
    <w:rsid w:val="00E36BF2"/>
    <w:rsid w:val="00E36DDB"/>
    <w:rsid w:val="00E4069F"/>
    <w:rsid w:val="00E41F7F"/>
    <w:rsid w:val="00E44CC8"/>
    <w:rsid w:val="00E45878"/>
    <w:rsid w:val="00E46AE5"/>
    <w:rsid w:val="00E479D2"/>
    <w:rsid w:val="00E500D4"/>
    <w:rsid w:val="00E51490"/>
    <w:rsid w:val="00E51881"/>
    <w:rsid w:val="00E51BC9"/>
    <w:rsid w:val="00E51D1F"/>
    <w:rsid w:val="00E53381"/>
    <w:rsid w:val="00E55475"/>
    <w:rsid w:val="00E5585A"/>
    <w:rsid w:val="00E569F4"/>
    <w:rsid w:val="00E56B97"/>
    <w:rsid w:val="00E56F97"/>
    <w:rsid w:val="00E5732C"/>
    <w:rsid w:val="00E630F9"/>
    <w:rsid w:val="00E642C9"/>
    <w:rsid w:val="00E64E98"/>
    <w:rsid w:val="00E65A45"/>
    <w:rsid w:val="00E66619"/>
    <w:rsid w:val="00E6791C"/>
    <w:rsid w:val="00E71377"/>
    <w:rsid w:val="00E71DB9"/>
    <w:rsid w:val="00E7228B"/>
    <w:rsid w:val="00E73651"/>
    <w:rsid w:val="00E76243"/>
    <w:rsid w:val="00E808BB"/>
    <w:rsid w:val="00E80B32"/>
    <w:rsid w:val="00E82CBD"/>
    <w:rsid w:val="00E84C00"/>
    <w:rsid w:val="00E84E5E"/>
    <w:rsid w:val="00E866E9"/>
    <w:rsid w:val="00E8682F"/>
    <w:rsid w:val="00E9128C"/>
    <w:rsid w:val="00E92623"/>
    <w:rsid w:val="00E926CC"/>
    <w:rsid w:val="00EA01D3"/>
    <w:rsid w:val="00EA228D"/>
    <w:rsid w:val="00EA29A7"/>
    <w:rsid w:val="00EA2E6B"/>
    <w:rsid w:val="00EA3082"/>
    <w:rsid w:val="00EA4563"/>
    <w:rsid w:val="00EA51D5"/>
    <w:rsid w:val="00EA6F9A"/>
    <w:rsid w:val="00EB0CE4"/>
    <w:rsid w:val="00EB1672"/>
    <w:rsid w:val="00EB311D"/>
    <w:rsid w:val="00EB353B"/>
    <w:rsid w:val="00EB5B63"/>
    <w:rsid w:val="00EB63F7"/>
    <w:rsid w:val="00EB64CC"/>
    <w:rsid w:val="00EB77F7"/>
    <w:rsid w:val="00EC055E"/>
    <w:rsid w:val="00EC071E"/>
    <w:rsid w:val="00EC0BC7"/>
    <w:rsid w:val="00EC183E"/>
    <w:rsid w:val="00EC48FD"/>
    <w:rsid w:val="00EC7355"/>
    <w:rsid w:val="00EC7633"/>
    <w:rsid w:val="00EC79C9"/>
    <w:rsid w:val="00ED0134"/>
    <w:rsid w:val="00ED1728"/>
    <w:rsid w:val="00ED19D1"/>
    <w:rsid w:val="00ED280A"/>
    <w:rsid w:val="00ED3829"/>
    <w:rsid w:val="00ED4399"/>
    <w:rsid w:val="00ED4AA4"/>
    <w:rsid w:val="00ED4E77"/>
    <w:rsid w:val="00ED50A6"/>
    <w:rsid w:val="00ED642B"/>
    <w:rsid w:val="00ED75C6"/>
    <w:rsid w:val="00ED7712"/>
    <w:rsid w:val="00EE0BF4"/>
    <w:rsid w:val="00EE147D"/>
    <w:rsid w:val="00EE4296"/>
    <w:rsid w:val="00EE4495"/>
    <w:rsid w:val="00EE5E74"/>
    <w:rsid w:val="00EE675B"/>
    <w:rsid w:val="00EE6DC6"/>
    <w:rsid w:val="00EE70D2"/>
    <w:rsid w:val="00EF0708"/>
    <w:rsid w:val="00EF1D4B"/>
    <w:rsid w:val="00EF69A6"/>
    <w:rsid w:val="00EF6A37"/>
    <w:rsid w:val="00EF6CEE"/>
    <w:rsid w:val="00EF6E41"/>
    <w:rsid w:val="00EF71DB"/>
    <w:rsid w:val="00F046A5"/>
    <w:rsid w:val="00F06D21"/>
    <w:rsid w:val="00F100B1"/>
    <w:rsid w:val="00F1059C"/>
    <w:rsid w:val="00F1103D"/>
    <w:rsid w:val="00F13F11"/>
    <w:rsid w:val="00F1412A"/>
    <w:rsid w:val="00F14FDA"/>
    <w:rsid w:val="00F16C30"/>
    <w:rsid w:val="00F201EE"/>
    <w:rsid w:val="00F2223A"/>
    <w:rsid w:val="00F23CCA"/>
    <w:rsid w:val="00F255B5"/>
    <w:rsid w:val="00F259E7"/>
    <w:rsid w:val="00F325D8"/>
    <w:rsid w:val="00F330CB"/>
    <w:rsid w:val="00F35253"/>
    <w:rsid w:val="00F37777"/>
    <w:rsid w:val="00F41712"/>
    <w:rsid w:val="00F43471"/>
    <w:rsid w:val="00F43BAB"/>
    <w:rsid w:val="00F50C15"/>
    <w:rsid w:val="00F50FA9"/>
    <w:rsid w:val="00F511FD"/>
    <w:rsid w:val="00F525AB"/>
    <w:rsid w:val="00F5291F"/>
    <w:rsid w:val="00F5299B"/>
    <w:rsid w:val="00F531EC"/>
    <w:rsid w:val="00F55029"/>
    <w:rsid w:val="00F55893"/>
    <w:rsid w:val="00F55CF8"/>
    <w:rsid w:val="00F5692D"/>
    <w:rsid w:val="00F57044"/>
    <w:rsid w:val="00F57AF9"/>
    <w:rsid w:val="00F62466"/>
    <w:rsid w:val="00F63861"/>
    <w:rsid w:val="00F677CB"/>
    <w:rsid w:val="00F700BD"/>
    <w:rsid w:val="00F70566"/>
    <w:rsid w:val="00F70BB5"/>
    <w:rsid w:val="00F72C53"/>
    <w:rsid w:val="00F7357F"/>
    <w:rsid w:val="00F73D9E"/>
    <w:rsid w:val="00F77104"/>
    <w:rsid w:val="00F77375"/>
    <w:rsid w:val="00F77415"/>
    <w:rsid w:val="00F80264"/>
    <w:rsid w:val="00F82164"/>
    <w:rsid w:val="00F82A4A"/>
    <w:rsid w:val="00F83220"/>
    <w:rsid w:val="00F833D6"/>
    <w:rsid w:val="00F837D9"/>
    <w:rsid w:val="00F843B0"/>
    <w:rsid w:val="00F87777"/>
    <w:rsid w:val="00F87D8B"/>
    <w:rsid w:val="00F87EF2"/>
    <w:rsid w:val="00F9056B"/>
    <w:rsid w:val="00F90AC1"/>
    <w:rsid w:val="00F93960"/>
    <w:rsid w:val="00F944FD"/>
    <w:rsid w:val="00F94F01"/>
    <w:rsid w:val="00F96D10"/>
    <w:rsid w:val="00F96E15"/>
    <w:rsid w:val="00F97C4B"/>
    <w:rsid w:val="00F97CDA"/>
    <w:rsid w:val="00FA0820"/>
    <w:rsid w:val="00FA1193"/>
    <w:rsid w:val="00FA5B0E"/>
    <w:rsid w:val="00FA60F0"/>
    <w:rsid w:val="00FA6A6F"/>
    <w:rsid w:val="00FA6AC4"/>
    <w:rsid w:val="00FA6C65"/>
    <w:rsid w:val="00FB0690"/>
    <w:rsid w:val="00FB3051"/>
    <w:rsid w:val="00FB3C38"/>
    <w:rsid w:val="00FB44CA"/>
    <w:rsid w:val="00FB56B7"/>
    <w:rsid w:val="00FB636F"/>
    <w:rsid w:val="00FB6483"/>
    <w:rsid w:val="00FC0065"/>
    <w:rsid w:val="00FC2839"/>
    <w:rsid w:val="00FC452F"/>
    <w:rsid w:val="00FC5E4E"/>
    <w:rsid w:val="00FC6A45"/>
    <w:rsid w:val="00FC7A80"/>
    <w:rsid w:val="00FC7C6D"/>
    <w:rsid w:val="00FD0DAC"/>
    <w:rsid w:val="00FD0FCB"/>
    <w:rsid w:val="00FD14DF"/>
    <w:rsid w:val="00FD1513"/>
    <w:rsid w:val="00FD1D41"/>
    <w:rsid w:val="00FD3549"/>
    <w:rsid w:val="00FD68A5"/>
    <w:rsid w:val="00FD6ACB"/>
    <w:rsid w:val="00FD7BDD"/>
    <w:rsid w:val="00FE09AD"/>
    <w:rsid w:val="00FE0AF8"/>
    <w:rsid w:val="00FE0B75"/>
    <w:rsid w:val="00FE0C3B"/>
    <w:rsid w:val="00FE2012"/>
    <w:rsid w:val="00FE2EC3"/>
    <w:rsid w:val="00FE31AA"/>
    <w:rsid w:val="00FE35AA"/>
    <w:rsid w:val="00FE458A"/>
    <w:rsid w:val="00FE4ABD"/>
    <w:rsid w:val="00FE6842"/>
    <w:rsid w:val="00FF001A"/>
    <w:rsid w:val="00FF18B6"/>
    <w:rsid w:val="00FF224A"/>
    <w:rsid w:val="00FF2A03"/>
    <w:rsid w:val="00FF36E6"/>
    <w:rsid w:val="00FF3B9D"/>
    <w:rsid w:val="00FF46AD"/>
    <w:rsid w:val="00FF4BE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envelope return" w:uiPriority="0"/>
    <w:lsdException w:name="footnote reference" w:uiPriority="0"/>
    <w:lsdException w:name="endnote reference"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1C2B"/>
    <w:rPr>
      <w:sz w:val="24"/>
      <w:szCs w:val="24"/>
      <w:lang w:val="en-GB"/>
    </w:rPr>
  </w:style>
  <w:style w:type="paragraph" w:styleId="Heading1">
    <w:name w:val="heading 1"/>
    <w:basedOn w:val="Normal"/>
    <w:next w:val="Normal"/>
    <w:link w:val="Heading1Char"/>
    <w:qFormat/>
    <w:rsid w:val="006506E1"/>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val="en-US"/>
    </w:rPr>
  </w:style>
  <w:style w:type="paragraph" w:styleId="Heading2">
    <w:name w:val="heading 2"/>
    <w:basedOn w:val="Normal"/>
    <w:next w:val="Normal"/>
    <w:link w:val="Heading2Char"/>
    <w:unhideWhenUsed/>
    <w:qFormat/>
    <w:rsid w:val="006506E1"/>
    <w:pPr>
      <w:keepNext/>
      <w:keepLines/>
      <w:spacing w:before="200" w:line="276" w:lineRule="auto"/>
      <w:outlineLvl w:val="1"/>
    </w:pPr>
    <w:rPr>
      <w:rFonts w:asciiTheme="majorHAnsi" w:eastAsiaTheme="majorEastAsia" w:hAnsiTheme="majorHAnsi" w:cstheme="majorBidi"/>
      <w:b/>
      <w:bCs/>
      <w:color w:val="4F81BD" w:themeColor="accent1"/>
      <w:sz w:val="26"/>
      <w:szCs w:val="26"/>
      <w:lang w:val="en-US"/>
    </w:rPr>
  </w:style>
  <w:style w:type="paragraph" w:styleId="Heading3">
    <w:name w:val="heading 3"/>
    <w:basedOn w:val="Heading"/>
    <w:next w:val="BodyText"/>
    <w:link w:val="Heading3Char"/>
    <w:qFormat/>
    <w:rsid w:val="006506E1"/>
    <w:pPr>
      <w:tabs>
        <w:tab w:val="num" w:pos="0"/>
      </w:tabs>
      <w:outlineLvl w:val="2"/>
    </w:pPr>
    <w:rPr>
      <w:b/>
      <w:bCs/>
      <w:sz w:val="26"/>
      <w:szCs w:val="26"/>
    </w:rPr>
  </w:style>
  <w:style w:type="paragraph" w:styleId="Heading4">
    <w:name w:val="heading 4"/>
    <w:basedOn w:val="Heading"/>
    <w:next w:val="BodyText"/>
    <w:link w:val="Heading4Char"/>
    <w:qFormat/>
    <w:rsid w:val="006506E1"/>
    <w:pPr>
      <w:tabs>
        <w:tab w:val="num" w:pos="0"/>
      </w:tabs>
      <w:outlineLvl w:val="3"/>
    </w:pPr>
    <w:rPr>
      <w:b/>
      <w:bCs/>
      <w:i/>
      <w:iCs/>
      <w:sz w:val="24"/>
      <w:szCs w:val="24"/>
    </w:rPr>
  </w:style>
  <w:style w:type="paragraph" w:styleId="Heading5">
    <w:name w:val="heading 5"/>
    <w:basedOn w:val="Heading"/>
    <w:next w:val="BodyText"/>
    <w:link w:val="Heading5Char"/>
    <w:qFormat/>
    <w:rsid w:val="006506E1"/>
    <w:pPr>
      <w:tabs>
        <w:tab w:val="num" w:pos="0"/>
      </w:tabs>
      <w:outlineLvl w:val="4"/>
    </w:pPr>
    <w:rPr>
      <w:b/>
      <w:bCs/>
      <w:sz w:val="22"/>
      <w:szCs w:val="22"/>
    </w:rPr>
  </w:style>
  <w:style w:type="paragraph" w:styleId="Heading6">
    <w:name w:val="heading 6"/>
    <w:basedOn w:val="Heading"/>
    <w:next w:val="BodyText"/>
    <w:link w:val="Heading6Char"/>
    <w:qFormat/>
    <w:rsid w:val="006506E1"/>
    <w:pPr>
      <w:tabs>
        <w:tab w:val="num" w:pos="0"/>
      </w:tabs>
      <w:outlineLvl w:val="5"/>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7B14EB"/>
    <w:rPr>
      <w:sz w:val="20"/>
      <w:szCs w:val="20"/>
    </w:rPr>
  </w:style>
  <w:style w:type="character" w:styleId="FootnoteReference">
    <w:name w:val="footnote reference"/>
    <w:basedOn w:val="DefaultParagraphFont"/>
    <w:semiHidden/>
    <w:rsid w:val="007B14EB"/>
    <w:rPr>
      <w:vertAlign w:val="superscript"/>
    </w:rPr>
  </w:style>
  <w:style w:type="character" w:styleId="Hyperlink">
    <w:name w:val="Hyperlink"/>
    <w:basedOn w:val="DefaultParagraphFont"/>
    <w:rsid w:val="0018011D"/>
    <w:rPr>
      <w:color w:val="0000FF"/>
      <w:u w:val="single"/>
    </w:rPr>
  </w:style>
  <w:style w:type="paragraph" w:styleId="EndnoteText">
    <w:name w:val="endnote text"/>
    <w:basedOn w:val="Normal"/>
    <w:link w:val="EndnoteTextChar"/>
    <w:uiPriority w:val="99"/>
    <w:semiHidden/>
    <w:rsid w:val="007A4233"/>
    <w:rPr>
      <w:sz w:val="20"/>
      <w:szCs w:val="20"/>
    </w:rPr>
  </w:style>
  <w:style w:type="character" w:styleId="EndnoteReference">
    <w:name w:val="endnote reference"/>
    <w:basedOn w:val="DefaultParagraphFont"/>
    <w:semiHidden/>
    <w:rsid w:val="007A4233"/>
    <w:rPr>
      <w:vertAlign w:val="superscript"/>
    </w:rPr>
  </w:style>
  <w:style w:type="paragraph" w:styleId="BodyText">
    <w:name w:val="Body Text"/>
    <w:basedOn w:val="Normal"/>
    <w:link w:val="BodyTextChar"/>
    <w:semiHidden/>
    <w:unhideWhenUsed/>
    <w:rsid w:val="00BC3B48"/>
    <w:pPr>
      <w:spacing w:after="120"/>
    </w:pPr>
  </w:style>
  <w:style w:type="character" w:customStyle="1" w:styleId="BodyTextChar">
    <w:name w:val="Body Text Char"/>
    <w:basedOn w:val="DefaultParagraphFont"/>
    <w:link w:val="BodyText"/>
    <w:uiPriority w:val="99"/>
    <w:semiHidden/>
    <w:rsid w:val="00BC3B48"/>
    <w:rPr>
      <w:sz w:val="24"/>
      <w:szCs w:val="24"/>
      <w:lang w:val="en-GB"/>
    </w:rPr>
  </w:style>
  <w:style w:type="paragraph" w:styleId="Header">
    <w:name w:val="header"/>
    <w:basedOn w:val="Normal"/>
    <w:link w:val="HeaderChar"/>
    <w:semiHidden/>
    <w:unhideWhenUsed/>
    <w:rsid w:val="00332A58"/>
    <w:pPr>
      <w:tabs>
        <w:tab w:val="center" w:pos="4680"/>
        <w:tab w:val="right" w:pos="9360"/>
      </w:tabs>
    </w:pPr>
  </w:style>
  <w:style w:type="character" w:customStyle="1" w:styleId="HeaderChar">
    <w:name w:val="Header Char"/>
    <w:basedOn w:val="DefaultParagraphFont"/>
    <w:link w:val="Header"/>
    <w:uiPriority w:val="99"/>
    <w:semiHidden/>
    <w:rsid w:val="00332A58"/>
    <w:rPr>
      <w:sz w:val="24"/>
      <w:szCs w:val="24"/>
      <w:lang w:val="en-GB"/>
    </w:rPr>
  </w:style>
  <w:style w:type="paragraph" w:styleId="Footer">
    <w:name w:val="footer"/>
    <w:basedOn w:val="Normal"/>
    <w:link w:val="FooterChar"/>
    <w:uiPriority w:val="99"/>
    <w:unhideWhenUsed/>
    <w:rsid w:val="00332A58"/>
    <w:pPr>
      <w:tabs>
        <w:tab w:val="center" w:pos="4680"/>
        <w:tab w:val="right" w:pos="9360"/>
      </w:tabs>
    </w:pPr>
  </w:style>
  <w:style w:type="character" w:customStyle="1" w:styleId="FooterChar">
    <w:name w:val="Footer Char"/>
    <w:basedOn w:val="DefaultParagraphFont"/>
    <w:link w:val="Footer"/>
    <w:uiPriority w:val="99"/>
    <w:rsid w:val="00332A58"/>
    <w:rPr>
      <w:sz w:val="24"/>
      <w:szCs w:val="24"/>
      <w:lang w:val="en-GB"/>
    </w:rPr>
  </w:style>
  <w:style w:type="paragraph" w:styleId="BalloonText">
    <w:name w:val="Balloon Text"/>
    <w:basedOn w:val="Normal"/>
    <w:link w:val="BalloonTextChar"/>
    <w:uiPriority w:val="99"/>
    <w:semiHidden/>
    <w:unhideWhenUsed/>
    <w:rsid w:val="00A4299F"/>
    <w:rPr>
      <w:rFonts w:ascii="Tahoma" w:hAnsi="Tahoma" w:cs="Tahoma"/>
      <w:sz w:val="16"/>
      <w:szCs w:val="16"/>
    </w:rPr>
  </w:style>
  <w:style w:type="character" w:customStyle="1" w:styleId="BalloonTextChar">
    <w:name w:val="Balloon Text Char"/>
    <w:basedOn w:val="DefaultParagraphFont"/>
    <w:link w:val="BalloonText"/>
    <w:uiPriority w:val="99"/>
    <w:semiHidden/>
    <w:rsid w:val="00A4299F"/>
    <w:rPr>
      <w:rFonts w:ascii="Tahoma" w:hAnsi="Tahoma" w:cs="Tahoma"/>
      <w:sz w:val="16"/>
      <w:szCs w:val="16"/>
      <w:lang w:val="en-GB"/>
    </w:rPr>
  </w:style>
  <w:style w:type="character" w:customStyle="1" w:styleId="Heading1Char">
    <w:name w:val="Heading 1 Char"/>
    <w:basedOn w:val="DefaultParagraphFont"/>
    <w:link w:val="Heading1"/>
    <w:uiPriority w:val="9"/>
    <w:rsid w:val="006506E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6506E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6506E1"/>
    <w:rPr>
      <w:rFonts w:ascii="Albany" w:eastAsia="HG Mincho Light J" w:hAnsi="Albany" w:cs="Arial Unicode MS"/>
      <w:b/>
      <w:bCs/>
      <w:color w:val="000000"/>
      <w:sz w:val="26"/>
      <w:szCs w:val="26"/>
    </w:rPr>
  </w:style>
  <w:style w:type="character" w:customStyle="1" w:styleId="Heading4Char">
    <w:name w:val="Heading 4 Char"/>
    <w:basedOn w:val="DefaultParagraphFont"/>
    <w:link w:val="Heading4"/>
    <w:rsid w:val="006506E1"/>
    <w:rPr>
      <w:rFonts w:ascii="Albany" w:eastAsia="HG Mincho Light J" w:hAnsi="Albany" w:cs="Arial Unicode MS"/>
      <w:b/>
      <w:bCs/>
      <w:i/>
      <w:iCs/>
      <w:color w:val="000000"/>
      <w:sz w:val="24"/>
      <w:szCs w:val="24"/>
    </w:rPr>
  </w:style>
  <w:style w:type="character" w:customStyle="1" w:styleId="Heading5Char">
    <w:name w:val="Heading 5 Char"/>
    <w:basedOn w:val="DefaultParagraphFont"/>
    <w:link w:val="Heading5"/>
    <w:rsid w:val="006506E1"/>
    <w:rPr>
      <w:rFonts w:ascii="Albany" w:eastAsia="HG Mincho Light J" w:hAnsi="Albany" w:cs="Arial Unicode MS"/>
      <w:b/>
      <w:bCs/>
      <w:color w:val="000000"/>
      <w:sz w:val="22"/>
      <w:szCs w:val="22"/>
    </w:rPr>
  </w:style>
  <w:style w:type="character" w:customStyle="1" w:styleId="Heading6Char">
    <w:name w:val="Heading 6 Char"/>
    <w:basedOn w:val="DefaultParagraphFont"/>
    <w:link w:val="Heading6"/>
    <w:rsid w:val="006506E1"/>
    <w:rPr>
      <w:rFonts w:ascii="Albany" w:eastAsia="HG Mincho Light J" w:hAnsi="Albany" w:cs="Arial Unicode MS"/>
      <w:b/>
      <w:bCs/>
      <w:color w:val="000000"/>
    </w:rPr>
  </w:style>
  <w:style w:type="table" w:styleId="TableGrid">
    <w:name w:val="Table Grid"/>
    <w:basedOn w:val="TableNormal"/>
    <w:rsid w:val="006506E1"/>
    <w:rPr>
      <w:rFonts w:asciiTheme="minorHAnsi" w:eastAsia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FootnoteTextChar">
    <w:name w:val="Footnote Text Char"/>
    <w:basedOn w:val="DefaultParagraphFont"/>
    <w:link w:val="FootnoteText"/>
    <w:uiPriority w:val="99"/>
    <w:rsid w:val="006506E1"/>
    <w:rPr>
      <w:lang w:val="en-GB"/>
    </w:rPr>
  </w:style>
  <w:style w:type="paragraph" w:styleId="DocumentMap">
    <w:name w:val="Document Map"/>
    <w:basedOn w:val="Normal"/>
    <w:link w:val="DocumentMapChar"/>
    <w:uiPriority w:val="99"/>
    <w:semiHidden/>
    <w:unhideWhenUsed/>
    <w:rsid w:val="006506E1"/>
    <w:rPr>
      <w:rFonts w:ascii="Tahoma" w:eastAsia="Calibri" w:hAnsi="Tahoma" w:cs="Tahoma"/>
      <w:sz w:val="16"/>
      <w:szCs w:val="16"/>
    </w:rPr>
  </w:style>
  <w:style w:type="character" w:customStyle="1" w:styleId="DocumentMapChar">
    <w:name w:val="Document Map Char"/>
    <w:basedOn w:val="DefaultParagraphFont"/>
    <w:link w:val="DocumentMap"/>
    <w:uiPriority w:val="99"/>
    <w:semiHidden/>
    <w:rsid w:val="006506E1"/>
    <w:rPr>
      <w:rFonts w:ascii="Tahoma" w:eastAsia="Calibri" w:hAnsi="Tahoma" w:cs="Tahoma"/>
      <w:sz w:val="16"/>
      <w:szCs w:val="16"/>
      <w:lang w:val="en-GB"/>
    </w:rPr>
  </w:style>
  <w:style w:type="character" w:customStyle="1" w:styleId="EndnoteTextChar">
    <w:name w:val="Endnote Text Char"/>
    <w:basedOn w:val="DefaultParagraphFont"/>
    <w:link w:val="EndnoteText"/>
    <w:uiPriority w:val="99"/>
    <w:semiHidden/>
    <w:rsid w:val="006506E1"/>
    <w:rPr>
      <w:lang w:val="en-GB"/>
    </w:rPr>
  </w:style>
  <w:style w:type="character" w:styleId="CommentReference">
    <w:name w:val="annotation reference"/>
    <w:basedOn w:val="DefaultParagraphFont"/>
    <w:uiPriority w:val="99"/>
    <w:semiHidden/>
    <w:unhideWhenUsed/>
    <w:rsid w:val="006506E1"/>
    <w:rPr>
      <w:sz w:val="16"/>
      <w:szCs w:val="16"/>
    </w:rPr>
  </w:style>
  <w:style w:type="paragraph" w:styleId="CommentText">
    <w:name w:val="annotation text"/>
    <w:basedOn w:val="Normal"/>
    <w:link w:val="CommentTextChar"/>
    <w:uiPriority w:val="99"/>
    <w:semiHidden/>
    <w:unhideWhenUsed/>
    <w:rsid w:val="006506E1"/>
    <w:pPr>
      <w:spacing w:after="200" w:line="276" w:lineRule="auto"/>
    </w:pPr>
    <w:rPr>
      <w:rFonts w:ascii="Garamond" w:eastAsia="Calibri" w:hAnsi="Garamond"/>
      <w:sz w:val="20"/>
      <w:szCs w:val="20"/>
    </w:rPr>
  </w:style>
  <w:style w:type="character" w:customStyle="1" w:styleId="CommentTextChar">
    <w:name w:val="Comment Text Char"/>
    <w:basedOn w:val="DefaultParagraphFont"/>
    <w:link w:val="CommentText"/>
    <w:uiPriority w:val="99"/>
    <w:semiHidden/>
    <w:rsid w:val="006506E1"/>
    <w:rPr>
      <w:rFonts w:ascii="Garamond" w:eastAsia="Calibri" w:hAnsi="Garamond"/>
      <w:lang w:val="en-GB"/>
    </w:rPr>
  </w:style>
  <w:style w:type="paragraph" w:styleId="CommentSubject">
    <w:name w:val="annotation subject"/>
    <w:basedOn w:val="CommentText"/>
    <w:next w:val="CommentText"/>
    <w:link w:val="CommentSubjectChar"/>
    <w:uiPriority w:val="99"/>
    <w:semiHidden/>
    <w:unhideWhenUsed/>
    <w:rsid w:val="006506E1"/>
    <w:rPr>
      <w:b/>
      <w:bCs/>
    </w:rPr>
  </w:style>
  <w:style w:type="character" w:customStyle="1" w:styleId="CommentSubjectChar">
    <w:name w:val="Comment Subject Char"/>
    <w:basedOn w:val="CommentTextChar"/>
    <w:link w:val="CommentSubject"/>
    <w:uiPriority w:val="99"/>
    <w:semiHidden/>
    <w:rsid w:val="006506E1"/>
    <w:rPr>
      <w:b/>
      <w:bCs/>
    </w:rPr>
  </w:style>
  <w:style w:type="character" w:customStyle="1" w:styleId="FootnoteCharacters">
    <w:name w:val="Footnote Characters"/>
    <w:rsid w:val="006506E1"/>
  </w:style>
  <w:style w:type="character" w:customStyle="1" w:styleId="EndnoteCharacters">
    <w:name w:val="Endnote Characters"/>
    <w:rsid w:val="006506E1"/>
  </w:style>
  <w:style w:type="paragraph" w:customStyle="1" w:styleId="Heading">
    <w:name w:val="Heading"/>
    <w:basedOn w:val="Normal"/>
    <w:next w:val="BodyText"/>
    <w:rsid w:val="006506E1"/>
    <w:pPr>
      <w:keepNext/>
      <w:widowControl w:val="0"/>
      <w:suppressAutoHyphens/>
      <w:spacing w:before="240" w:after="283"/>
    </w:pPr>
    <w:rPr>
      <w:rFonts w:ascii="Albany" w:eastAsia="HG Mincho Light J" w:hAnsi="Albany" w:cs="Arial Unicode MS"/>
      <w:color w:val="000000"/>
      <w:sz w:val="28"/>
      <w:szCs w:val="28"/>
      <w:lang w:val="en-US"/>
    </w:rPr>
  </w:style>
  <w:style w:type="paragraph" w:styleId="List">
    <w:name w:val="List"/>
    <w:basedOn w:val="BodyText"/>
    <w:semiHidden/>
    <w:rsid w:val="006506E1"/>
    <w:pPr>
      <w:widowControl w:val="0"/>
      <w:suppressAutoHyphens/>
      <w:spacing w:after="0"/>
    </w:pPr>
    <w:rPr>
      <w:rFonts w:ascii="Garamond" w:hAnsi="Garamond"/>
      <w:color w:val="000000"/>
      <w:lang w:val="en-US"/>
    </w:rPr>
  </w:style>
  <w:style w:type="paragraph" w:customStyle="1" w:styleId="TableContents">
    <w:name w:val="Table Contents"/>
    <w:basedOn w:val="BodyText"/>
    <w:rsid w:val="006506E1"/>
    <w:pPr>
      <w:widowControl w:val="0"/>
      <w:suppressAutoHyphens/>
      <w:spacing w:after="0"/>
    </w:pPr>
    <w:rPr>
      <w:rFonts w:ascii="Garamond" w:hAnsi="Garamond"/>
      <w:color w:val="000000"/>
      <w:lang w:val="en-US"/>
    </w:rPr>
  </w:style>
  <w:style w:type="paragraph" w:styleId="Caption">
    <w:name w:val="caption"/>
    <w:basedOn w:val="Normal"/>
    <w:qFormat/>
    <w:rsid w:val="006506E1"/>
    <w:pPr>
      <w:widowControl w:val="0"/>
      <w:suppressLineNumbers/>
      <w:suppressAutoHyphens/>
      <w:spacing w:before="120" w:after="120"/>
    </w:pPr>
    <w:rPr>
      <w:rFonts w:ascii="Garamond" w:hAnsi="Garamond"/>
      <w:i/>
      <w:iCs/>
      <w:color w:val="000000"/>
      <w:lang w:val="en-US"/>
    </w:rPr>
  </w:style>
  <w:style w:type="paragraph" w:styleId="EnvelopeReturn">
    <w:name w:val="envelope return"/>
    <w:basedOn w:val="Normal"/>
    <w:semiHidden/>
    <w:rsid w:val="006506E1"/>
    <w:pPr>
      <w:widowControl w:val="0"/>
      <w:suppressAutoHyphens/>
    </w:pPr>
    <w:rPr>
      <w:rFonts w:ascii="Garamond" w:hAnsi="Garamond"/>
      <w:i/>
      <w:color w:val="000000"/>
      <w:lang w:val="en-US"/>
    </w:rPr>
  </w:style>
  <w:style w:type="paragraph" w:customStyle="1" w:styleId="Index">
    <w:name w:val="Index"/>
    <w:basedOn w:val="Normal"/>
    <w:rsid w:val="006506E1"/>
    <w:pPr>
      <w:widowControl w:val="0"/>
      <w:suppressLineNumbers/>
      <w:suppressAutoHyphens/>
    </w:pPr>
    <w:rPr>
      <w:rFonts w:ascii="Garamond" w:hAnsi="Garamond"/>
      <w:color w:val="000000"/>
      <w:lang w:val="en-US"/>
    </w:rPr>
  </w:style>
  <w:style w:type="paragraph" w:customStyle="1" w:styleId="Quotations">
    <w:name w:val="Quotations"/>
    <w:basedOn w:val="Normal"/>
    <w:rsid w:val="006506E1"/>
    <w:pPr>
      <w:widowControl w:val="0"/>
      <w:pBdr>
        <w:top w:val="single" w:sz="1" w:space="7" w:color="C0C0C0"/>
        <w:left w:val="single" w:sz="1" w:space="7" w:color="C0C0C0"/>
        <w:bottom w:val="single" w:sz="1" w:space="7" w:color="C0C0C0"/>
        <w:right w:val="single" w:sz="1" w:space="7" w:color="C0C0C0"/>
      </w:pBdr>
      <w:suppressAutoHyphens/>
      <w:spacing w:after="283"/>
      <w:ind w:left="567" w:right="567"/>
    </w:pPr>
    <w:rPr>
      <w:rFonts w:ascii="Garamond" w:hAnsi="Garamond"/>
      <w:color w:val="000000"/>
      <w:lang w:val="en-US"/>
    </w:rPr>
  </w:style>
  <w:style w:type="paragraph" w:customStyle="1" w:styleId="HorizontalLine">
    <w:name w:val="Horizontal Line"/>
    <w:basedOn w:val="Normal"/>
    <w:next w:val="BodyText"/>
    <w:rsid w:val="006506E1"/>
    <w:pPr>
      <w:widowControl w:val="0"/>
      <w:pBdr>
        <w:bottom w:val="double" w:sz="1" w:space="0" w:color="808080"/>
      </w:pBdr>
      <w:suppressAutoHyphens/>
      <w:spacing w:after="283"/>
    </w:pPr>
    <w:rPr>
      <w:rFonts w:ascii="Garamond" w:hAnsi="Garamond"/>
      <w:color w:val="000000"/>
      <w:sz w:val="12"/>
      <w:lang w:val="en-US"/>
    </w:rPr>
  </w:style>
  <w:style w:type="numbering" w:customStyle="1" w:styleId="NoList1">
    <w:name w:val="No List1"/>
    <w:next w:val="NoList"/>
    <w:uiPriority w:val="99"/>
    <w:semiHidden/>
    <w:unhideWhenUsed/>
    <w:rsid w:val="006506E1"/>
  </w:style>
  <w:style w:type="table" w:customStyle="1" w:styleId="TableGrid1">
    <w:name w:val="Table Grid1"/>
    <w:basedOn w:val="TableNormal"/>
    <w:next w:val="TableGrid"/>
    <w:uiPriority w:val="59"/>
    <w:rsid w:val="006506E1"/>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ibliography">
    <w:name w:val="Bibliography"/>
    <w:basedOn w:val="Normal"/>
    <w:next w:val="Normal"/>
    <w:uiPriority w:val="37"/>
    <w:unhideWhenUsed/>
    <w:rsid w:val="006506E1"/>
    <w:pPr>
      <w:widowControl w:val="0"/>
      <w:suppressAutoHyphens/>
    </w:pPr>
    <w:rPr>
      <w:lang w:val="en-US"/>
    </w:rPr>
  </w:style>
  <w:style w:type="character" w:customStyle="1" w:styleId="c03">
    <w:name w:val="c03"/>
    <w:basedOn w:val="DefaultParagraphFont"/>
    <w:rsid w:val="006506E1"/>
  </w:style>
  <w:style w:type="character" w:customStyle="1" w:styleId="boldtext">
    <w:name w:val="boldtext"/>
    <w:basedOn w:val="DefaultParagraphFont"/>
    <w:rsid w:val="006506E1"/>
  </w:style>
  <w:style w:type="character" w:customStyle="1" w:styleId="bodytext0">
    <w:name w:val="bodytext"/>
    <w:basedOn w:val="DefaultParagraphFont"/>
    <w:rsid w:val="006506E1"/>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A318BD4A-C89A-4D97-A035-804ED1A51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1</Pages>
  <Words>12465</Words>
  <Characters>71054</Characters>
  <Application>Microsoft Office Word</Application>
  <DocSecurity>0</DocSecurity>
  <Lines>592</Lines>
  <Paragraphs>166</Paragraphs>
  <ScaleCrop>false</ScaleCrop>
  <HeadingPairs>
    <vt:vector size="2" baseType="variant">
      <vt:variant>
        <vt:lpstr>Title</vt:lpstr>
      </vt:variant>
      <vt:variant>
        <vt:i4>1</vt:i4>
      </vt:variant>
    </vt:vector>
  </HeadingPairs>
  <TitlesOfParts>
    <vt:vector size="1" baseType="lpstr">
      <vt:lpstr>Chapter V-</vt:lpstr>
    </vt:vector>
  </TitlesOfParts>
  <Company> </Company>
  <LinksUpToDate>false</LinksUpToDate>
  <CharactersWithSpaces>83353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V-</dc:title>
  <dc:subject/>
  <dc:creator>c</dc:creator>
  <cp:keywords/>
  <dc:description/>
  <cp:lastModifiedBy>Christine 2</cp:lastModifiedBy>
  <cp:revision>29</cp:revision>
  <dcterms:created xsi:type="dcterms:W3CDTF">2008-11-27T21:53:00Z</dcterms:created>
  <dcterms:modified xsi:type="dcterms:W3CDTF">2009-06-02T19:38:00Z</dcterms:modified>
</cp:coreProperties>
</file>